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BD" w:rsidRDefault="00D80DBD" w:rsidP="00D80DBD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D80DBD" w:rsidRDefault="00D80DBD" w:rsidP="00D80DBD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1D171E" w:rsidRPr="001D171E" w:rsidRDefault="00191540" w:rsidP="00D80DBD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191540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8" type="#_x0000_t32" style="position:absolute;left:0;text-align:left;margin-left:10.9pt;margin-top:3.65pt;width:463.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" strokeweight="1pt"/>
        </w:pict>
      </w:r>
      <w:r w:rsidR="00D04FCC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Отчё</w:t>
      </w:r>
      <w:r w:rsidR="001D171E" w:rsidRPr="001D171E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т</w:t>
      </w:r>
    </w:p>
    <w:p w:rsidR="001D171E" w:rsidRPr="001D171E" w:rsidRDefault="001D171E" w:rsidP="00D80D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1D171E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о деятельности факультета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педагогики, психологии и социальных наук за </w:t>
      </w:r>
      <w:r w:rsidR="00A53B01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период с 27 июня 2013 года по 15 марта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2018 года</w:t>
      </w:r>
    </w:p>
    <w:p w:rsidR="001D171E" w:rsidRDefault="001D171E" w:rsidP="00D80D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1D171E"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в связи с избранием на должность декана факультета</w:t>
      </w:r>
    </w:p>
    <w:p w:rsidR="001D171E" w:rsidRDefault="001D171E" w:rsidP="00D80D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>Тугарова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Александра Борисовича</w:t>
      </w:r>
    </w:p>
    <w:p w:rsidR="00D80DBD" w:rsidRPr="001D171E" w:rsidRDefault="00D80DBD" w:rsidP="00D80D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418"/>
      </w:tblGrid>
      <w:tr w:rsidR="001D171E" w:rsidRPr="001D171E" w:rsidTr="005D7E3F">
        <w:tc>
          <w:tcPr>
            <w:tcW w:w="674" w:type="dxa"/>
          </w:tcPr>
          <w:p w:rsidR="001D171E" w:rsidRPr="007E7ECB" w:rsidRDefault="001D171E" w:rsidP="00D80DBD">
            <w:pPr>
              <w:spacing w:after="0" w:line="223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7E7E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2" w:type="dxa"/>
          </w:tcPr>
          <w:p w:rsidR="001D171E" w:rsidRPr="001D171E" w:rsidRDefault="001D171E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1D171E" w:rsidRPr="001D171E" w:rsidRDefault="001D171E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</w:tr>
      <w:tr w:rsidR="001D171E" w:rsidRPr="001D171E" w:rsidTr="005D7E3F">
        <w:trPr>
          <w:trHeight w:val="20"/>
        </w:trPr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A31C9C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ППС кафедр</w:t>
            </w:r>
            <w:r w:rsidR="001D171E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(шт.ед.</w:t>
            </w:r>
            <w:r w:rsidR="00B922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D171E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="00CF3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D171E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чел.)</w:t>
            </w:r>
          </w:p>
        </w:tc>
        <w:tc>
          <w:tcPr>
            <w:tcW w:w="1277" w:type="dxa"/>
          </w:tcPr>
          <w:p w:rsidR="001D171E" w:rsidRPr="007073B5" w:rsidRDefault="007073B5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84,25</w:t>
            </w:r>
          </w:p>
        </w:tc>
        <w:tc>
          <w:tcPr>
            <w:tcW w:w="1418" w:type="dxa"/>
          </w:tcPr>
          <w:p w:rsidR="001D171E" w:rsidRPr="007073B5" w:rsidRDefault="00B32F6B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  <w:r w:rsidR="00C14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D171E" w:rsidRPr="001D171E" w:rsidTr="005D7E3F">
        <w:trPr>
          <w:trHeight w:val="20"/>
        </w:trPr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ППС, </w:t>
            </w:r>
            <w:proofErr w:type="gram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имеющих</w:t>
            </w:r>
            <w:proofErr w:type="gramEnd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1D171E" w:rsidRPr="007073B5" w:rsidRDefault="00B32F6B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83,</w:t>
            </w:r>
            <w:r w:rsidR="00C14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1D171E" w:rsidRPr="001D171E" w:rsidTr="005D7E3F">
        <w:trPr>
          <w:trHeight w:val="20"/>
        </w:trPr>
        <w:tc>
          <w:tcPr>
            <w:tcW w:w="674" w:type="dxa"/>
            <w:vMerge w:val="restart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1D171E" w:rsidRPr="001D171E" w:rsidRDefault="001D171E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ППС в возрасте до 40 лет</w:t>
            </w:r>
            <w:proofErr w:type="gram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  <w:p w:rsidR="001D171E" w:rsidRPr="001D171E" w:rsidRDefault="001D171E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том числе, </w:t>
            </w:r>
            <w:proofErr w:type="gram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имеющих</w:t>
            </w:r>
            <w:proofErr w:type="gramEnd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1D171E" w:rsidRPr="007073B5" w:rsidRDefault="007073B5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25,6</w:t>
            </w:r>
          </w:p>
        </w:tc>
      </w:tr>
      <w:tr w:rsidR="001D171E" w:rsidRPr="001D171E" w:rsidTr="005D7E3F">
        <w:trPr>
          <w:trHeight w:val="20"/>
        </w:trPr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Merge/>
          </w:tcPr>
          <w:p w:rsidR="001D171E" w:rsidRPr="001D171E" w:rsidRDefault="001D171E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1D171E" w:rsidRPr="007073B5" w:rsidRDefault="007073B5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17,5</w:t>
            </w:r>
          </w:p>
        </w:tc>
      </w:tr>
      <w:tr w:rsidR="001D171E" w:rsidRPr="001D171E" w:rsidTr="005D7E3F">
        <w:tc>
          <w:tcPr>
            <w:tcW w:w="674" w:type="dxa"/>
            <w:vMerge w:val="restart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7E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1D171E" w:rsidRPr="001D171E" w:rsidRDefault="001D171E" w:rsidP="005D7E3F">
            <w:pPr>
              <w:spacing w:line="223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Выпуск </w:t>
            </w:r>
            <w:proofErr w:type="gram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CC12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прошедших специализацию на факультете,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отношению к набору на 1</w:t>
            </w:r>
            <w:r w:rsidR="00B32F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-й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курс (%):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бакалавров</w:t>
            </w:r>
          </w:p>
        </w:tc>
        <w:tc>
          <w:tcPr>
            <w:tcW w:w="2695" w:type="dxa"/>
            <w:gridSpan w:val="2"/>
          </w:tcPr>
          <w:p w:rsidR="001D171E" w:rsidRPr="007073B5" w:rsidRDefault="00CC1242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78, 6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магистров</w:t>
            </w:r>
          </w:p>
        </w:tc>
        <w:tc>
          <w:tcPr>
            <w:tcW w:w="2695" w:type="dxa"/>
            <w:gridSpan w:val="2"/>
          </w:tcPr>
          <w:p w:rsidR="001D171E" w:rsidRPr="007073B5" w:rsidRDefault="00CC1242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89,8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специалистов</w:t>
            </w:r>
          </w:p>
        </w:tc>
        <w:tc>
          <w:tcPr>
            <w:tcW w:w="2695" w:type="dxa"/>
            <w:gridSpan w:val="2"/>
          </w:tcPr>
          <w:p w:rsidR="001D171E" w:rsidRPr="007073B5" w:rsidRDefault="00CC1242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аспирантов</w:t>
            </w:r>
          </w:p>
        </w:tc>
        <w:tc>
          <w:tcPr>
            <w:tcW w:w="2695" w:type="dxa"/>
            <w:gridSpan w:val="2"/>
          </w:tcPr>
          <w:p w:rsidR="001D171E" w:rsidRPr="007073B5" w:rsidRDefault="00CC1242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87,5</w:t>
            </w:r>
          </w:p>
        </w:tc>
      </w:tr>
      <w:tr w:rsidR="001D171E" w:rsidRPr="001D171E" w:rsidTr="005D7E3F"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tabs>
                <w:tab w:val="left" w:pos="1260"/>
              </w:tabs>
              <w:spacing w:line="22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1D171E" w:rsidRDefault="002B44AA" w:rsidP="00CF371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F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двойных дипломов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«Педагогическое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образование», профиль «Музыка»;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Гананьский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педагогический университет, Китай;</w:t>
            </w:r>
          </w:p>
          <w:p w:rsidR="002B44AA" w:rsidRPr="001D171E" w:rsidRDefault="002B44AA" w:rsidP="00CF371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4F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«Педагогическое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образование», профиль «Музыка»;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Ляньюнганский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профессионально-педагогический колледж, Китай</w:t>
            </w:r>
          </w:p>
        </w:tc>
      </w:tr>
      <w:tr w:rsidR="001D171E" w:rsidRPr="001D171E" w:rsidTr="005D7E3F"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tabs>
                <w:tab w:val="left" w:pos="1260"/>
              </w:tabs>
              <w:spacing w:line="22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трудоустроенных выпускни</w:t>
            </w:r>
            <w:r w:rsidR="00A31C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ков по специальности (подтверждё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нных документально)</w:t>
            </w:r>
            <w:r w:rsidR="002D76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2D767E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95" w:type="dxa"/>
            <w:gridSpan w:val="2"/>
          </w:tcPr>
          <w:p w:rsidR="001D171E" w:rsidRPr="002D767E" w:rsidRDefault="002D767E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D7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72,5</w:t>
            </w:r>
          </w:p>
        </w:tc>
      </w:tr>
      <w:tr w:rsidR="001D171E" w:rsidRPr="001D171E" w:rsidTr="005D7E3F"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tabs>
                <w:tab w:val="left" w:pos="1260"/>
              </w:tabs>
              <w:spacing w:line="22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1D171E" w:rsidRPr="007073B5" w:rsidRDefault="007073B5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1D171E" w:rsidRPr="007073B5" w:rsidRDefault="007073B5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D171E" w:rsidRPr="001D171E" w:rsidTr="005D7E3F"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tabs>
                <w:tab w:val="left" w:pos="1260"/>
              </w:tabs>
              <w:spacing w:line="22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человек, принятых из сторонних организаций в докторантуру</w:t>
            </w:r>
            <w:r w:rsidR="00CF3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="00CF3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очную аспирантуру по кафедр</w:t>
            </w:r>
            <w:r w:rsidR="00CF37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ам факультета</w:t>
            </w:r>
          </w:p>
        </w:tc>
        <w:tc>
          <w:tcPr>
            <w:tcW w:w="1277" w:type="dxa"/>
          </w:tcPr>
          <w:p w:rsidR="001D171E" w:rsidRPr="007073B5" w:rsidRDefault="007073B5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1D171E" w:rsidRPr="007073B5" w:rsidRDefault="007073B5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D171E" w:rsidRPr="001D171E" w:rsidTr="005D7E3F">
        <w:tc>
          <w:tcPr>
            <w:tcW w:w="674" w:type="dxa"/>
            <w:vMerge w:val="restart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D171E" w:rsidRPr="001D171E" w:rsidRDefault="001D171E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статей, опубликованных работниками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факультета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рецензируемых изданиях: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1D171E" w:rsidRPr="007073B5" w:rsidRDefault="00C14B2E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D7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  <w:r w:rsidR="007C6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  <w:r w:rsidR="002D7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7E7ECB" w:rsidRDefault="007E7ECB" w:rsidP="007E7ECB">
            <w:pPr>
              <w:spacing w:after="0"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 них:</w:t>
            </w:r>
          </w:p>
          <w:p w:rsidR="001D171E" w:rsidRPr="001D171E" w:rsidRDefault="001D171E" w:rsidP="007E7ECB">
            <w:pPr>
              <w:spacing w:after="0"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-в журналах перечня ВАК при </w:t>
            </w:r>
            <w:proofErr w:type="spell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</w:tcPr>
          <w:p w:rsidR="001D171E" w:rsidRPr="007073B5" w:rsidRDefault="007C63E7" w:rsidP="00CF371F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  <w:t>23</w:t>
            </w:r>
            <w:r w:rsidR="007073B5" w:rsidRPr="002D767E"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D171E" w:rsidRPr="001D171E" w:rsidRDefault="001D171E" w:rsidP="005D7E3F">
            <w:pPr>
              <w:spacing w:line="223" w:lineRule="auto"/>
              <w:ind w:left="3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научной периодике, индексируемой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Web</w:t>
            </w:r>
            <w:proofErr w:type="spellEnd"/>
            <w:r w:rsidR="009C2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of</w:t>
            </w:r>
            <w:proofErr w:type="spellEnd"/>
            <w:r w:rsidR="009C2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Science</w:t>
            </w:r>
            <w:proofErr w:type="spellEnd"/>
          </w:p>
        </w:tc>
        <w:tc>
          <w:tcPr>
            <w:tcW w:w="2695" w:type="dxa"/>
            <w:gridSpan w:val="2"/>
          </w:tcPr>
          <w:p w:rsidR="001D171E" w:rsidRPr="007073B5" w:rsidRDefault="007073B5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D111E8"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1D171E" w:rsidRPr="007073B5" w:rsidRDefault="00D111E8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  <w:t>21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РИНЦ</w:t>
            </w:r>
          </w:p>
        </w:tc>
        <w:tc>
          <w:tcPr>
            <w:tcW w:w="2695" w:type="dxa"/>
            <w:gridSpan w:val="2"/>
          </w:tcPr>
          <w:p w:rsidR="001D171E" w:rsidRPr="007073B5" w:rsidRDefault="007073B5" w:rsidP="002D767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</w:pPr>
            <w:r w:rsidRPr="007073B5">
              <w:rPr>
                <w:rFonts w:ascii="Times New Roman" w:hAnsi="Times New Roman" w:cs="Times New Roman"/>
                <w:b/>
                <w:iCs/>
                <w:color w:val="000000"/>
                <w:spacing w:val="7"/>
                <w:sz w:val="28"/>
                <w:szCs w:val="28"/>
                <w:shd w:val="clear" w:color="auto" w:fill="FFFFFF"/>
                <w:lang w:eastAsia="en-US"/>
              </w:rPr>
              <w:t>991</w:t>
            </w:r>
          </w:p>
        </w:tc>
      </w:tr>
      <w:tr w:rsidR="001D171E" w:rsidRPr="001D171E" w:rsidTr="005D7E3F">
        <w:tc>
          <w:tcPr>
            <w:tcW w:w="674" w:type="dxa"/>
            <w:vMerge w:val="restart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D171E" w:rsidRPr="001D171E" w:rsidRDefault="001D171E" w:rsidP="005D7E3F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монографий: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персональных</w:t>
            </w:r>
          </w:p>
        </w:tc>
        <w:tc>
          <w:tcPr>
            <w:tcW w:w="2695" w:type="dxa"/>
            <w:gridSpan w:val="2"/>
          </w:tcPr>
          <w:p w:rsidR="001D171E" w:rsidRPr="00C14B2E" w:rsidRDefault="00C14B2E" w:rsidP="002D767E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  <w:shd w:val="clear" w:color="auto" w:fill="FFFFFF"/>
                <w:lang w:eastAsia="en-US"/>
              </w:rPr>
            </w:pPr>
            <w:r w:rsidRPr="00C14B2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  <w:shd w:val="clear" w:color="auto" w:fill="FFFFFF"/>
                <w:lang w:eastAsia="en-US"/>
              </w:rPr>
              <w:t>15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коллективных</w:t>
            </w:r>
          </w:p>
        </w:tc>
        <w:tc>
          <w:tcPr>
            <w:tcW w:w="2695" w:type="dxa"/>
            <w:gridSpan w:val="2"/>
          </w:tcPr>
          <w:p w:rsidR="001D171E" w:rsidRPr="00C14B2E" w:rsidRDefault="00C14B2E" w:rsidP="002D767E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  <w:shd w:val="clear" w:color="auto" w:fill="FFFFFF"/>
                <w:lang w:eastAsia="en-US"/>
              </w:rPr>
            </w:pPr>
            <w:r w:rsidRPr="00C14B2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  <w:shd w:val="clear" w:color="auto" w:fill="FFFFFF"/>
                <w:lang w:eastAsia="en-US"/>
              </w:rPr>
              <w:t>37</w:t>
            </w:r>
          </w:p>
        </w:tc>
      </w:tr>
      <w:tr w:rsidR="001D171E" w:rsidRPr="001D171E" w:rsidTr="005D7E3F">
        <w:tc>
          <w:tcPr>
            <w:tcW w:w="674" w:type="dxa"/>
            <w:vMerge w:val="restart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D171E" w:rsidRPr="001D171E" w:rsidRDefault="001D171E" w:rsidP="005D7E3F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учебников и учебных пособий: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1D171E" w:rsidRPr="00C14B2E" w:rsidRDefault="00C14B2E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2E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</w:tr>
      <w:tr w:rsidR="001D171E" w:rsidRPr="001D171E" w:rsidTr="005D7E3F"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ind w:left="3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1D171E" w:rsidRPr="00C14B2E" w:rsidRDefault="00C14B2E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2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D171E" w:rsidRPr="001D171E" w:rsidTr="005D7E3F">
        <w:trPr>
          <w:trHeight w:val="95"/>
        </w:trPr>
        <w:tc>
          <w:tcPr>
            <w:tcW w:w="674" w:type="dxa"/>
            <w:vMerge w:val="restart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1D171E" w:rsidRPr="00C14B2E" w:rsidRDefault="00C14B2E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B2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D171E" w:rsidRPr="001D171E" w:rsidTr="005D7E3F">
        <w:trPr>
          <w:trHeight w:val="70"/>
        </w:trPr>
        <w:tc>
          <w:tcPr>
            <w:tcW w:w="674" w:type="dxa"/>
            <w:vMerge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1D171E" w:rsidRPr="001D171E" w:rsidRDefault="007E7ECB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16 597,</w:t>
            </w:r>
            <w:r w:rsidR="007073B5" w:rsidRP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532</w:t>
            </w:r>
          </w:p>
        </w:tc>
      </w:tr>
      <w:tr w:rsidR="001D171E" w:rsidRPr="001D171E" w:rsidTr="005D7E3F">
        <w:trPr>
          <w:trHeight w:val="70"/>
        </w:trPr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FC307A" w:rsidP="005D7E3F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Объё</w:t>
            </w:r>
            <w:r w:rsidR="001D171E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средств, привлечё</w:t>
            </w:r>
            <w:r w:rsidR="001D171E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</w:tcPr>
          <w:p w:rsidR="001D171E" w:rsidRPr="007073B5" w:rsidRDefault="007E7ECB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1 892,</w:t>
            </w:r>
            <w:r w:rsidR="0070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061</w:t>
            </w:r>
          </w:p>
        </w:tc>
      </w:tr>
      <w:tr w:rsidR="001D171E" w:rsidRPr="001D171E" w:rsidTr="005D7E3F">
        <w:trPr>
          <w:trHeight w:val="70"/>
        </w:trPr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1D171E" w:rsidRDefault="001D171E" w:rsidP="005D7E3F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студентов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аспиранто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="00FC3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молодых преподавателей факультета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победителей региональных, всероссийских, международных </w:t>
            </w:r>
            <w:r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1D171E" w:rsidRPr="00283B62" w:rsidRDefault="007073B5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20</w:t>
            </w:r>
            <w:r w:rsidR="00283B62"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283B62"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83B62"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283B62"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3B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D171E" w:rsidRPr="001D171E" w:rsidTr="005D7E3F">
        <w:trPr>
          <w:trHeight w:val="70"/>
        </w:trPr>
        <w:tc>
          <w:tcPr>
            <w:tcW w:w="674" w:type="dxa"/>
          </w:tcPr>
          <w:p w:rsidR="001D171E" w:rsidRPr="007E7ECB" w:rsidRDefault="001D171E" w:rsidP="007E7ECB">
            <w:pPr>
              <w:numPr>
                <w:ilvl w:val="0"/>
                <w:numId w:val="1"/>
              </w:numPr>
              <w:spacing w:after="0" w:line="223" w:lineRule="auto"/>
              <w:ind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171E" w:rsidRPr="00283B62" w:rsidRDefault="001D171E" w:rsidP="005D7E3F">
            <w:pPr>
              <w:widowControl w:val="0"/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3B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</w:t>
            </w:r>
            <w:r w:rsidR="00283B62" w:rsidRPr="00283B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реализации</w:t>
            </w:r>
            <w:r w:rsidRPr="00283B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дополнительных образовательных </w:t>
            </w:r>
            <w:r w:rsidR="00283B62" w:rsidRPr="00283B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</w:t>
            </w:r>
            <w:r w:rsidR="004A2D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2DAD" w:rsidRPr="001D1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2695" w:type="dxa"/>
            <w:gridSpan w:val="2"/>
          </w:tcPr>
          <w:p w:rsidR="001D171E" w:rsidRPr="004A2DAD" w:rsidRDefault="007E7ECB" w:rsidP="00CF371F">
            <w:pPr>
              <w:widowControl w:val="0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4A2DAD" w:rsidRPr="004A2DAD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  <w:r w:rsidR="004A2DA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1D171E" w:rsidRDefault="001D171E" w:rsidP="001D171E">
      <w:pPr>
        <w:widowControl w:val="0"/>
        <w:spacing w:line="223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4761" w:rsidRPr="00724761" w:rsidRDefault="00724761" w:rsidP="00724761">
      <w:pPr>
        <w:widowControl w:val="0"/>
        <w:spacing w:line="22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761">
        <w:rPr>
          <w:rFonts w:ascii="Times New Roman" w:hAnsi="Times New Roman" w:cs="Times New Roman"/>
          <w:color w:val="000000"/>
          <w:sz w:val="28"/>
          <w:szCs w:val="28"/>
        </w:rPr>
        <w:t>Претендент</w:t>
      </w:r>
      <w:r w:rsidR="00D80D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____________</w:t>
      </w:r>
      <w:r w:rsidR="00D80D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0D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12.03. 2018 г.                 А.Б. </w:t>
      </w:r>
      <w:proofErr w:type="spellStart"/>
      <w:r w:rsidR="00D80DBD">
        <w:rPr>
          <w:rFonts w:ascii="Times New Roman" w:hAnsi="Times New Roman" w:cs="Times New Roman"/>
          <w:color w:val="000000"/>
          <w:sz w:val="28"/>
          <w:szCs w:val="28"/>
        </w:rPr>
        <w:t>Тугаров</w:t>
      </w:r>
      <w:proofErr w:type="spellEnd"/>
    </w:p>
    <w:p w:rsidR="003336CB" w:rsidRDefault="00724761" w:rsidP="00724761">
      <w:pPr>
        <w:widowControl w:val="0"/>
        <w:spacing w:line="22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7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47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47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4761" w:rsidRPr="00724761" w:rsidRDefault="003336CB" w:rsidP="00724761">
      <w:pPr>
        <w:widowControl w:val="0"/>
        <w:spacing w:line="22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36CB">
        <w:rPr>
          <w:rFonts w:ascii="Times New Roman" w:hAnsi="Times New Roman" w:cs="Times New Roman"/>
          <w:color w:val="000000"/>
          <w:sz w:val="28"/>
          <w:szCs w:val="28"/>
        </w:rPr>
        <w:t>Директор ПИ им.Белинского</w:t>
      </w:r>
      <w:r w:rsidR="00EB1F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___________12.03.2018 г.             О.П. Сурина</w:t>
      </w:r>
      <w:r w:rsidR="00191540" w:rsidRPr="00191540">
        <w:rPr>
          <w:rFonts w:ascii="Times New Roman" w:hAnsi="Times New Roman" w:cs="Times New Roman"/>
          <w:sz w:val="28"/>
          <w:szCs w:val="28"/>
        </w:rPr>
        <w:pict>
          <v:shape id="AutoShape 18" o:spid="_x0000_s1029" type="#_x0000_t32" style="position:absolute;margin-left:1pt;margin-top:10.5pt;width:116.4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04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PAxoMK6AuEptbWiRHtWredb0u0NKVx1RLY/RbycDyVnISN6lhIszUGY3fNEMYggU&#10;iNM6NrYPkDAHdIxLOd2Wwo8eUfiY5Q/zRTbFiF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"/>
        </w:pict>
      </w:r>
    </w:p>
    <w:p w:rsidR="00724761" w:rsidRPr="00724761" w:rsidRDefault="00724761" w:rsidP="001D171E">
      <w:pPr>
        <w:widowControl w:val="0"/>
        <w:spacing w:line="223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24761" w:rsidRPr="00724761" w:rsidSect="0032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71E"/>
    <w:rsid w:val="00191540"/>
    <w:rsid w:val="001D171E"/>
    <w:rsid w:val="00245D2D"/>
    <w:rsid w:val="00283B62"/>
    <w:rsid w:val="002B44AA"/>
    <w:rsid w:val="002D767E"/>
    <w:rsid w:val="00320C1D"/>
    <w:rsid w:val="003336CB"/>
    <w:rsid w:val="004A2DAD"/>
    <w:rsid w:val="00540153"/>
    <w:rsid w:val="005749AA"/>
    <w:rsid w:val="007073B5"/>
    <w:rsid w:val="00724761"/>
    <w:rsid w:val="007C63E7"/>
    <w:rsid w:val="007E7ECB"/>
    <w:rsid w:val="008479B8"/>
    <w:rsid w:val="008E59DD"/>
    <w:rsid w:val="00944647"/>
    <w:rsid w:val="00976A12"/>
    <w:rsid w:val="009C2264"/>
    <w:rsid w:val="00A31C9C"/>
    <w:rsid w:val="00A53B01"/>
    <w:rsid w:val="00A7286F"/>
    <w:rsid w:val="00AB67F5"/>
    <w:rsid w:val="00B32F6B"/>
    <w:rsid w:val="00B35FE3"/>
    <w:rsid w:val="00B92298"/>
    <w:rsid w:val="00B96F41"/>
    <w:rsid w:val="00C14B2E"/>
    <w:rsid w:val="00C21AFB"/>
    <w:rsid w:val="00CC1242"/>
    <w:rsid w:val="00CF371F"/>
    <w:rsid w:val="00D04FCC"/>
    <w:rsid w:val="00D111E8"/>
    <w:rsid w:val="00D80DBD"/>
    <w:rsid w:val="00DC5F5D"/>
    <w:rsid w:val="00E5121A"/>
    <w:rsid w:val="00EB1FF2"/>
    <w:rsid w:val="00FC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AutoShape 18"/>
        <o:r id="V:Rule4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056C-0FE1-429E-B9E5-BCFDDCE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й</cp:lastModifiedBy>
  <cp:revision>26</cp:revision>
  <dcterms:created xsi:type="dcterms:W3CDTF">2018-02-14T07:08:00Z</dcterms:created>
  <dcterms:modified xsi:type="dcterms:W3CDTF">2018-03-04T13:52:00Z</dcterms:modified>
</cp:coreProperties>
</file>