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>
        <w:trPr>
          <w:trHeight w:val="1486"/>
        </w:trPr>
        <w:tc>
          <w:tcPr>
            <w:tcW w:w="9639" w:type="dxa"/>
            <w:vAlign w:val="center"/>
          </w:tcPr>
          <w:p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53340</wp:posOffset>
                  </wp:positionV>
                  <wp:extent cx="806450" cy="763270"/>
                  <wp:effectExtent l="1905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</w:r>
            <w:r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высшего образования «Пензенский государственный университет»</w:t>
            </w:r>
          </w:p>
          <w:p>
            <w:pPr>
              <w:tabs>
                <w:tab w:val="left" w:pos="487"/>
              </w:tabs>
              <w:jc w:val="center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>
            <w:pPr>
              <w:tabs>
                <w:tab w:val="left" w:pos="487"/>
              </w:tabs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Медицинский институт</w:t>
            </w:r>
          </w:p>
          <w:p>
            <w:pPr>
              <w:tabs>
                <w:tab w:val="left" w:pos="487"/>
              </w:tabs>
              <w:spacing w:after="60"/>
              <w:jc w:val="center"/>
            </w:pPr>
            <w:r>
              <w:t>Лечебный факультет</w:t>
            </w:r>
          </w:p>
        </w:tc>
      </w:tr>
    </w:tbl>
    <w:p>
      <w:pPr>
        <w:jc w:val="center"/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ученым советом университета</w:t>
      </w:r>
    </w:p>
    <w:p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(протокол от _______№ ____)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РАЗВИТИЯ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Лечебного факультета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– 2029 гг.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ПГУ   2025</w:t>
      </w:r>
    </w:p>
    <w:p/>
    <w:p/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программы развития лечебного факультета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Цель - динамичное развитие лечебного факультета путем интеграции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образовательной, научной, инновационной и клинической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на современном рынке труда, </w:t>
      </w:r>
      <w:r>
        <w:rPr>
          <w:rFonts w:ascii="Times New Roman" w:hAnsi="Times New Roman" w:cs="Times New Roman"/>
          <w:sz w:val="28"/>
          <w:szCs w:val="28"/>
        </w:rPr>
        <w:t>способствующих сохранению и улучшению здоровья населения, интеллектуальному и  социально-экономическому развитию Пензенской области.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Основными задачами деятельности факультета являются:</w:t>
      </w:r>
    </w:p>
    <w:p>
      <w:pPr>
        <w:pStyle w:val="a5"/>
        <w:numPr>
          <w:ilvl w:val="0"/>
          <w:numId w:val="24"/>
        </w:numPr>
        <w:spacing w:after="0" w:line="240" w:lineRule="auto"/>
        <w:ind w:left="993" w:hanging="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Обеспечение постоянного улучшения качества многоуровневой подготовки специалистов для сферы здравоохранения, медицинской и фармацевтической промышленности Пензенской области с учетом требований  ФГОС и  профессиональных стандартов.</w:t>
      </w:r>
    </w:p>
    <w:p>
      <w:pPr>
        <w:pStyle w:val="a5"/>
        <w:numPr>
          <w:ilvl w:val="0"/>
          <w:numId w:val="24"/>
        </w:numPr>
        <w:tabs>
          <w:tab w:val="num" w:pos="540"/>
        </w:tabs>
        <w:spacing w:after="0" w:line="240" w:lineRule="auto"/>
        <w:ind w:left="993" w:hanging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образовательных технологий,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методик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для интенсификации процесса освоения практических навыков без вреда для пациента как обязательной и неотъемлемой части подготовки медицинских и фармацевтических кадров.</w:t>
      </w:r>
    </w:p>
    <w:p>
      <w:pPr>
        <w:pStyle w:val="a5"/>
        <w:numPr>
          <w:ilvl w:val="0"/>
          <w:numId w:val="24"/>
        </w:numPr>
        <w:tabs>
          <w:tab w:val="num" w:pos="540"/>
        </w:tabs>
        <w:spacing w:after="0" w:line="240" w:lineRule="auto"/>
        <w:ind w:left="993" w:hanging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научно-педагогических школ факультета,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кадров высшей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как ключевого фактора реализации учебной,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и инновационной  и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widowControl w:val="0"/>
        <w:numPr>
          <w:ilvl w:val="0"/>
          <w:numId w:val="24"/>
        </w:numPr>
        <w:tabs>
          <w:tab w:val="num" w:pos="540"/>
        </w:tabs>
        <w:spacing w:after="0" w:line="240" w:lineRule="auto"/>
        <w:ind w:left="993" w:hanging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науки и образования в области приоритетных национальных проектов и  научно-технологических платформ, совершенствование системы прикладных научных исследований и    коммерциализации их результатов. </w:t>
      </w:r>
    </w:p>
    <w:p>
      <w:pPr>
        <w:pStyle w:val="a5"/>
        <w:widowControl w:val="0"/>
        <w:numPr>
          <w:ilvl w:val="0"/>
          <w:numId w:val="24"/>
        </w:numPr>
        <w:tabs>
          <w:tab w:val="num" w:pos="540"/>
        </w:tabs>
        <w:spacing w:after="0" w:line="240" w:lineRule="auto"/>
        <w:ind w:left="993" w:hanging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и лабораторной базы факультета, освоение новых клинических баз практической подготовки обучающихся для обеспечения качества предоставления образовательных услуг, проведения научных исследований и создания высокотехнологичных разработок, соответствующих требованиям инновационного развития.</w:t>
      </w:r>
    </w:p>
    <w:p>
      <w:pPr>
        <w:pStyle w:val="a5"/>
        <w:numPr>
          <w:ilvl w:val="0"/>
          <w:numId w:val="24"/>
        </w:numPr>
        <w:spacing w:after="0" w:line="240" w:lineRule="auto"/>
        <w:ind w:left="993" w:hanging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научному и образовательному сотрудничеству с зарубежными университетами и научными центрами, развитие международной академической мобильности обучающихся и ППС.</w:t>
      </w:r>
    </w:p>
    <w:p>
      <w:pPr>
        <w:pStyle w:val="a5"/>
        <w:numPr>
          <w:ilvl w:val="0"/>
          <w:numId w:val="24"/>
        </w:numPr>
        <w:spacing w:after="0" w:line="240" w:lineRule="auto"/>
        <w:ind w:left="993" w:hanging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благоприятного  морально-психологического климата в коллективе, способствующего заинтересованности каждого в достижении высоких результатов, формированию положительного имиджа факультета.</w:t>
      </w:r>
    </w:p>
    <w:p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Ключевые проекты мероприятий, способствующие достижению целей развития факультета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Учебно-методическая работа и кадровый состав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Обеспечить постоянное улучшение качества подготовки обучающихся посредством комплекса фундаментальной и профессиональной подготовки, участия в научных исследованиях, в том числе:</w:t>
      </w:r>
    </w:p>
    <w:p>
      <w:pPr>
        <w:pStyle w:val="2"/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качество основных образовательных программ с учетом требований ФГОС, профессиональных стандартов и перспектив развития рынков труда;</w:t>
      </w:r>
    </w:p>
    <w:p>
      <w:pPr>
        <w:pStyle w:val="a5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интерактивные, проблемные методы обучения, способствующие формированию интереса к учебным дисциплинам, творческому мышлению,  более полному  усвоению учебного материала и  формированию  общекультурных и профессиональных компетенций;</w:t>
      </w:r>
    </w:p>
    <w:p>
      <w:pPr>
        <w:pStyle w:val="a5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эффективность учебных и производственных практик за счет привлечения к руководству практикой высококвалифицированных специалистов практического здравоохранения и фармации;</w:t>
      </w:r>
    </w:p>
    <w:p>
      <w:pPr>
        <w:pStyle w:val="a5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развитие олимпиадного движения на факультете в виде </w:t>
      </w:r>
      <w:r>
        <w:rPr>
          <w:rFonts w:ascii="Times New Roman" w:hAnsi="Times New Roman" w:cs="Times New Roman"/>
          <w:spacing w:val="-2"/>
          <w:sz w:val="28"/>
          <w:szCs w:val="28"/>
        </w:rPr>
        <w:t>формы организации обучения, позволяющей  более эффективно формировать у студентов творческие компетенции.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Проводить активную кадровую политику, направленную на поддержание и дальнейшее повышение уровня ППС, в том числе:</w:t>
      </w:r>
    </w:p>
    <w:p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возможность для  непрерывного совершенствования профессиональной компетентности ППС, </w:t>
      </w:r>
      <w:r>
        <w:rPr>
          <w:rFonts w:ascii="Times New Roman" w:hAnsi="Times New Roman" w:cs="Times New Roman"/>
          <w:sz w:val="28"/>
          <w:szCs w:val="28"/>
        </w:rPr>
        <w:t>повышения квалификации не реже одного раза в три года;</w:t>
      </w:r>
    </w:p>
    <w:p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 условия для качественного обновления преподавательского корпуса на основе преемственности поколений, закрепления молодых педагогов за опытными преподавателями, развития кадрового резерва и создания условий работы для привлечения представителей работодателей;</w:t>
      </w:r>
    </w:p>
    <w:p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необходимые условия для развития научно-педагогических школ на кафедрах факультета за счёт подготовки молодых кандидатов и докторов наук.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Научная работа и инновационная деятельность</w:t>
      </w:r>
    </w:p>
    <w:p>
      <w:pPr>
        <w:pStyle w:val="a5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Сконцентрировать материальные и интеллектуальные ресурсы ЛФ на приоритетных направлениях научных исследований в рамках национальных проектов и основных технологических платформ,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научно-исследовательские группы НПР,</w:t>
      </w:r>
      <w:r>
        <w:rPr>
          <w:rFonts w:ascii="Times New Roman" w:hAnsi="Times New Roman" w:cs="Times New Roman"/>
          <w:sz w:val="28"/>
          <w:szCs w:val="28"/>
        </w:rPr>
        <w:t xml:space="preserve"> объединяющие кафедры факультета с пересекающимися научными направлениями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реализации междисциплинарных проектов.</w:t>
      </w:r>
    </w:p>
    <w:p>
      <w:pPr>
        <w:pStyle w:val="a5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участие в решении актуальных проблем регионального здравоохранения, принимая участие в научно-исследовательских  и образовательных программах, посвященных вопросам профилактики, диагностики, лечения  социально значимых заболеваний.</w:t>
      </w:r>
    </w:p>
    <w:p>
      <w:pPr>
        <w:pStyle w:val="a5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сотрудничество с ведущими отечественными и зарубежными образовательными и научными центрами в области фундаментальных и прикладных исследований.</w:t>
      </w:r>
    </w:p>
    <w:p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взаимодействия с технопарками области, в том числе путем расширения сотрудничества в рамках базовой кафедры путем интеграции интеллектуальных и материальных ресурсов организаций-партнеров для подготовки уникальных кадров в сфере здравоохранения, медицинской и фармацевтической промышленности и активизации коммерциализации результатов научных исследований.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1"/>
          <w:numId w:val="45"/>
        </w:numPr>
        <w:tabs>
          <w:tab w:val="left" w:pos="426"/>
        </w:tabs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научно-исследовательской работы студентов</w:t>
      </w:r>
    </w:p>
    <w:p>
      <w:pPr>
        <w:pStyle w:val="a5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постоянно действующих студенческих научных кружков.</w:t>
      </w:r>
    </w:p>
    <w:p>
      <w:pPr>
        <w:pStyle w:val="a5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осуществление интеграции науки и образования путем увеличения числа обучающихся, привлекаемых к НИРС, в том числе к участию в конкурсах на получение грантов и их реализации.</w:t>
      </w:r>
    </w:p>
    <w:p>
      <w:pPr>
        <w:pStyle w:val="a5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популяризацию научно – педагогических школ факультета с целью привлечения студентов, аспирантов и докторантов к проведению НИР для формирования нового поколения исследователей и развития компетентностного подхода в образовании, формируемого ФГОС 3++.</w:t>
      </w:r>
    </w:p>
    <w:p>
      <w:pPr>
        <w:pStyle w:val="2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2"/>
        <w:tabs>
          <w:tab w:val="left" w:pos="1134"/>
        </w:tabs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Молодежная политика и воспитательная деятельность</w:t>
      </w:r>
    </w:p>
    <w:p>
      <w:pPr>
        <w:pStyle w:val="a5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становления и самореализации студента, будущего специалиста, обладающего мировоззренческим потенциалом, высокой культурой и гражданской ответственностью, владеющего способностями к профессиональному, интеллектуальному и социальному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2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активную гражданско-патриотическую позицию студентов (тематические кураторские часы и круглые столы, посвященные мужеству и героизму, противодействию экстремизму и терроризму; встречи с членами Боевого братства; мероприятия, посвященные празднованию Дня Победы; возложение цветов к мемориалу Героям Отечества).</w:t>
      </w:r>
    </w:p>
    <w:p>
      <w:pPr>
        <w:pStyle w:val="2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творческий потенциал студентов факультета (участие в постоянных творческих коллективах; участие в смотре-конкурсе художественной самодеятельности «Студенческая весна», конкурсе «Первокурсник», межфакультетском конкурсе команд КВН «Кубок ректора»; проведение торжественного выпускного мероприятия).</w:t>
      </w:r>
    </w:p>
    <w:p>
      <w:pPr>
        <w:pStyle w:val="a5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систему духовно – нравственного, культурно – эстетического воспитания и систему профилактики деструктивного поведения.</w:t>
      </w:r>
    </w:p>
    <w:p>
      <w:pPr>
        <w:pStyle w:val="a5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оптимальные условия для дальнейшего развития системы   студенческого самоуправления.</w:t>
      </w:r>
    </w:p>
    <w:p>
      <w:pPr>
        <w:pStyle w:val="a5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деятельности кураторов.</w:t>
      </w:r>
    </w:p>
    <w:p>
      <w:pPr>
        <w:pStyle w:val="a5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Расширять волонтерское движение и наставничество в социокультурной среде факультета.</w:t>
      </w:r>
    </w:p>
    <w:p>
      <w:pPr>
        <w:pStyle w:val="a5"/>
        <w:numPr>
          <w:ilvl w:val="0"/>
          <w:numId w:val="3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многоуровневые механизмы социальной и психологической системы поддержки нуждающихся студентов.</w:t>
      </w:r>
    </w:p>
    <w:p>
      <w:pPr>
        <w:pStyle w:val="a5"/>
        <w:numPr>
          <w:ilvl w:val="0"/>
          <w:numId w:val="3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системный подход в работе со студентами – задолжниками: многоуровневый контроль (на уровне кафедр, деканата, кураторов и старост) посещаемости занятий студентами, заслушивание студентов – задолжников на заседаниях кафедр и ученом совете факультета, проведение родительских собраний.</w:t>
      </w:r>
    </w:p>
    <w:p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a5"/>
        <w:numPr>
          <w:ilvl w:val="1"/>
          <w:numId w:val="33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деятельность</w:t>
      </w:r>
    </w:p>
    <w:p>
      <w:pPr>
        <w:pStyle w:val="a5"/>
        <w:tabs>
          <w:tab w:val="left" w:pos="426"/>
        </w:tabs>
        <w:spacing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>
      <w:pPr>
        <w:pStyle w:val="a5"/>
        <w:numPr>
          <w:ilvl w:val="0"/>
          <w:numId w:val="32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установление и поддержание стабильных и устойчивых связей с иностранными выпускниками для повышения престижа университета и развития международных связей.</w:t>
      </w:r>
    </w:p>
    <w:p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академическую мобильность преподавателей и студентов.</w:t>
      </w:r>
    </w:p>
    <w:p>
      <w:pPr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практику подачи заявок на гранты с международным участием.</w:t>
      </w:r>
    </w:p>
    <w:p>
      <w:pPr>
        <w:pStyle w:val="a5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изучение разговорного и профессионального английского языка ППС ЛФ в объеме, необходимом как для преподавания, так и  для представления и обсуждения результатов научных исследований, анализа современной зарубежной литературы в области фундаментальной и клинической медицины, поощрять участие преподавателей в зарубежных конференциях и симпозиумах  с докладами на английском языке.</w:t>
      </w:r>
    </w:p>
    <w:p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 Содействие трудоустройству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клиническая деятельность</w:t>
      </w:r>
    </w:p>
    <w:p>
      <w:pPr>
        <w:pStyle w:val="a5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эффективное взаимодействие  с Министерством здравоохранения Пензенской области, в том числе в виде осуществления целевого приема, а также реализации системы непрерывного медицинского образования (ординатура, аспирантура, повышение квалификации и переподготовка врачей), способствующее устранению дефицита медицинских кадров в области и трудоустройству выпускников.</w:t>
      </w:r>
    </w:p>
    <w:p>
      <w:pPr>
        <w:pStyle w:val="a5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мониторинг трудоустройства и карьерного роста выпускников, проводить ежегодные опросы основных работодателей о степени их удовлетворенности качеством подготовки выпускников, содействовать  формированию ассоциации выпускников. </w:t>
      </w:r>
    </w:p>
    <w:p>
      <w:pPr>
        <w:pStyle w:val="a5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образовательную концепцию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 в Вузе посредством проведения социологических опросов; чтения лекций, посвященных формированию здорового образа жизни, проведения Дней здоровья,  общеуниверситетских конкурсов,  содействовать обеспечению эффективной профилактической, диагностической и лечебной помощи сотрудникам и студентам Вуза через ППС ЛФ в рамках КМЦ, поддержка деятельности волонтеров-медиков. </w:t>
      </w:r>
    </w:p>
    <w:p>
      <w:pPr>
        <w:pStyle w:val="a5"/>
        <w:numPr>
          <w:ilvl w:val="0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освоение новых клинических баз для практической подготовки обучающихся, контролировать баланс нагрузки на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существующие клинические базы. Для обеспечения максимально эффективного сотрудничества между ЛФ и клиническими базами обеспечить выполнение клинической нагрузки всеми сотрудниками клинических кафедр.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 Совершенствование материально-технической базы факультета</w:t>
      </w:r>
    </w:p>
    <w:p>
      <w:pPr>
        <w:pStyle w:val="a5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факультета для интенсификации учебного процесса, внедрения новых технических средств обучения, применения мультимедийных технологий.</w:t>
      </w:r>
    </w:p>
    <w:p>
      <w:pPr>
        <w:pStyle w:val="a5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родолжить работу над созданием  междисциплинарных учебно-научных лабораторий факультета.</w:t>
      </w:r>
    </w:p>
    <w:p>
      <w:pPr>
        <w:pStyle w:val="a5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Реализовать целевую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программы «Развитие фундаментального медицинского образования».</w:t>
      </w:r>
    </w:p>
    <w:p>
      <w:pPr>
        <w:pStyle w:val="a5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открытость.</w:t>
      </w:r>
    </w:p>
    <w:p>
      <w:pPr>
        <w:pStyle w:val="a5"/>
        <w:numPr>
          <w:ilvl w:val="0"/>
          <w:numId w:val="35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информационную открытость факультета путем повышения качества интернет-ресурсов факультета, динамичного развития  и регулярного обновления сайта.</w:t>
      </w:r>
    </w:p>
    <w:p>
      <w:pPr>
        <w:pStyle w:val="a5"/>
        <w:numPr>
          <w:ilvl w:val="0"/>
          <w:numId w:val="35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всесторонние формы коммуникаций через интернет-ресурсы между университетом, факультетом и абитуриентами, в том числе проводить профориентационную работу через социальные сети, через студентов и выпускников.</w:t>
      </w:r>
    </w:p>
    <w:p>
      <w:pPr>
        <w:pStyle w:val="a5"/>
        <w:numPr>
          <w:ilvl w:val="0"/>
          <w:numId w:val="35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проектную и исследовательскую деятельность со школьниками в рамках кафедральных кружков, расширять участие школьников в научно-практических конференциях различного уровня.</w:t>
      </w:r>
    </w:p>
    <w:p>
      <w:pPr>
        <w:pStyle w:val="a5"/>
        <w:numPr>
          <w:ilvl w:val="0"/>
          <w:numId w:val="35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реализовывать специализированные курсы ("Физиология человека, "Основы медицинских знаний" и др.) для школьников на базе кафедр факультета, расширять перечень мастер-классов в рамках "Университетских суббот".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ageBreakBefore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Основные показатели развития</w:t>
      </w:r>
    </w:p>
    <w:p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Лечебного факультета на 2025 – 2029 гг.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6521"/>
        <w:gridCol w:w="709"/>
        <w:gridCol w:w="709"/>
        <w:gridCol w:w="708"/>
        <w:gridCol w:w="709"/>
        <w:gridCol w:w="709"/>
      </w:tblGrid>
      <w:tr>
        <w:trPr>
          <w:tblHeader/>
        </w:trPr>
        <w:tc>
          <w:tcPr>
            <w:tcW w:w="425" w:type="dxa"/>
            <w:vAlign w:val="center"/>
          </w:tcPr>
          <w:p>
            <w:pPr>
              <w:ind w:left="-108" w:right="-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1" w:type="dxa"/>
            <w:vAlign w:val="center"/>
          </w:tcPr>
          <w:p>
            <w:pPr>
              <w:spacing w:before="120" w:after="120"/>
              <w:ind w:firstLine="34"/>
              <w:rPr>
                <w:b/>
              </w:rPr>
            </w:pPr>
            <w:r>
              <w:rPr>
                <w:b/>
              </w:rPr>
              <w:t>Показатели/индикаторы, единицы измерения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 г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2025 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6 г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2026 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7 г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2027 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2028 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9 г"/>
              </w:smartTagPr>
              <w:r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2029 г</w:t>
              </w:r>
            </w:smartTag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>
        <w:trPr>
          <w:trHeight w:hRule="exact" w:val="340"/>
        </w:trPr>
        <w:tc>
          <w:tcPr>
            <w:tcW w:w="10490" w:type="dxa"/>
            <w:gridSpan w:val="7"/>
            <w:vAlign w:val="center"/>
          </w:tcPr>
          <w:p>
            <w:pPr>
              <w:pStyle w:val="11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1. Образование</w:t>
            </w:r>
          </w:p>
        </w:tc>
      </w:tr>
      <w:tr>
        <w:trPr>
          <w:trHeight w:hRule="exact" w:val="397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контингент студентов, чел.</w:t>
            </w:r>
          </w:p>
        </w:tc>
        <w:tc>
          <w:tcPr>
            <w:tcW w:w="709" w:type="dxa"/>
            <w:vAlign w:val="center"/>
          </w:tcPr>
          <w:p>
            <w:r>
              <w:t>2850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3030</w:t>
            </w:r>
          </w:p>
        </w:tc>
        <w:tc>
          <w:tcPr>
            <w:tcW w:w="708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3210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3370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3470</w:t>
            </w:r>
          </w:p>
        </w:tc>
      </w:tr>
      <w:tr>
        <w:trPr>
          <w:trHeight w:hRule="exact" w:val="397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ОПОП ВО, ед.</w:t>
            </w:r>
          </w:p>
        </w:tc>
        <w:tc>
          <w:tcPr>
            <w:tcW w:w="709" w:type="dxa"/>
            <w:vAlign w:val="center"/>
          </w:tcPr>
          <w:p>
            <w:r>
              <w:t>54</w:t>
            </w:r>
          </w:p>
        </w:tc>
        <w:tc>
          <w:tcPr>
            <w:tcW w:w="709" w:type="dxa"/>
            <w:vAlign w:val="center"/>
          </w:tcPr>
          <w:p>
            <w:r>
              <w:t>55</w:t>
            </w:r>
          </w:p>
        </w:tc>
        <w:tc>
          <w:tcPr>
            <w:tcW w:w="708" w:type="dxa"/>
            <w:vAlign w:val="center"/>
          </w:tcPr>
          <w:p>
            <w:r>
              <w:t>55</w:t>
            </w:r>
          </w:p>
        </w:tc>
        <w:tc>
          <w:tcPr>
            <w:tcW w:w="709" w:type="dxa"/>
            <w:vAlign w:val="center"/>
          </w:tcPr>
          <w:p>
            <w:r>
              <w:t>55</w:t>
            </w:r>
          </w:p>
        </w:tc>
        <w:tc>
          <w:tcPr>
            <w:tcW w:w="709" w:type="dxa"/>
            <w:vAlign w:val="center"/>
          </w:tcPr>
          <w:p>
            <w:r>
              <w:t>55</w:t>
            </w:r>
          </w:p>
        </w:tc>
      </w:tr>
      <w:tr>
        <w:trPr>
          <w:trHeight w:hRule="exact" w:val="599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программ дополнительного образования и повышения квалификации, ед.</w:t>
            </w:r>
          </w:p>
        </w:tc>
        <w:tc>
          <w:tcPr>
            <w:tcW w:w="709" w:type="dxa"/>
            <w:vAlign w:val="center"/>
          </w:tcPr>
          <w:p>
            <w:r>
              <w:t>41</w:t>
            </w:r>
          </w:p>
        </w:tc>
        <w:tc>
          <w:tcPr>
            <w:tcW w:w="709" w:type="dxa"/>
            <w:vAlign w:val="center"/>
          </w:tcPr>
          <w:p>
            <w:r>
              <w:t>43</w:t>
            </w:r>
          </w:p>
        </w:tc>
        <w:tc>
          <w:tcPr>
            <w:tcW w:w="708" w:type="dxa"/>
            <w:vAlign w:val="center"/>
          </w:tcPr>
          <w:p>
            <w:r>
              <w:t>45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</w:tr>
      <w:tr>
        <w:trPr>
          <w:trHeight w:hRule="exact" w:val="541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онлайн-курсов 1-й / 2-й категорий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>
              <w:rPr>
                <w:rFonts w:ascii="Times New Roman" w:hAnsi="Times New Roman"/>
                <w:lang w:val="en-US"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13/20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15/10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15/10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15/10</w:t>
            </w:r>
          </w:p>
        </w:tc>
      </w:tr>
      <w:tr>
        <w:trPr>
          <w:trHeight w:hRule="exact" w:val="675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Численность лиц, обучающихся в ординатуре/аспирантуре, чел.</w:t>
            </w:r>
          </w:p>
        </w:tc>
        <w:tc>
          <w:tcPr>
            <w:tcW w:w="709" w:type="dxa"/>
            <w:vAlign w:val="center"/>
          </w:tcPr>
          <w:p>
            <w:r>
              <w:t>233</w:t>
            </w:r>
            <w:r>
              <w:rPr>
                <w:lang w:val="en-US"/>
              </w:rPr>
              <w:t>/</w:t>
            </w:r>
            <w:r>
              <w:t>15</w:t>
            </w:r>
          </w:p>
        </w:tc>
        <w:tc>
          <w:tcPr>
            <w:tcW w:w="709" w:type="dxa"/>
            <w:vAlign w:val="center"/>
          </w:tcPr>
          <w:p>
            <w:r>
              <w:t>235</w:t>
            </w:r>
            <w:r>
              <w:rPr>
                <w:lang w:val="en-US"/>
              </w:rPr>
              <w:t>/</w:t>
            </w:r>
            <w:r>
              <w:t>15</w:t>
            </w:r>
          </w:p>
        </w:tc>
        <w:tc>
          <w:tcPr>
            <w:tcW w:w="708" w:type="dxa"/>
            <w:vAlign w:val="center"/>
          </w:tcPr>
          <w:p>
            <w:r>
              <w:t>240</w:t>
            </w:r>
            <w:r>
              <w:rPr>
                <w:lang w:val="en-US"/>
              </w:rPr>
              <w:t>/</w:t>
            </w:r>
            <w:r>
              <w:t>20</w:t>
            </w:r>
          </w:p>
        </w:tc>
        <w:tc>
          <w:tcPr>
            <w:tcW w:w="709" w:type="dxa"/>
            <w:vAlign w:val="center"/>
          </w:tcPr>
          <w:p>
            <w:r>
              <w:t>240</w:t>
            </w:r>
            <w:r>
              <w:rPr>
                <w:lang w:val="en-US"/>
              </w:rPr>
              <w:t>/</w:t>
            </w:r>
            <w:r>
              <w:t>20</w:t>
            </w:r>
          </w:p>
        </w:tc>
        <w:tc>
          <w:tcPr>
            <w:tcW w:w="709" w:type="dxa"/>
            <w:vAlign w:val="center"/>
          </w:tcPr>
          <w:p>
            <w:r>
              <w:t>240</w:t>
            </w:r>
            <w:r>
              <w:rPr>
                <w:lang w:val="en-US"/>
              </w:rPr>
              <w:t>/</w:t>
            </w:r>
            <w:r>
              <w:t>20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521" w:type="dxa"/>
          </w:tcPr>
          <w:p>
            <w:pPr>
              <w:widowControl w:val="0"/>
              <w:spacing w:line="204" w:lineRule="auto"/>
            </w:pPr>
            <w:r>
              <w:rPr>
                <w:color w:val="000000"/>
              </w:rPr>
              <w:t>Количество изданных учебников и учебных пособий, всего, ед.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>
            <w:pPr>
              <w:widowControl w:val="0"/>
              <w:spacing w:line="204" w:lineRule="auto"/>
              <w:jc w:val="right"/>
            </w:pPr>
            <w:r>
              <w:rPr>
                <w:color w:val="000000"/>
              </w:rPr>
              <w:t>из них с грифом УМО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>
        <w:trPr>
          <w:trHeight w:hRule="exact" w:val="340"/>
        </w:trPr>
        <w:tc>
          <w:tcPr>
            <w:tcW w:w="10490" w:type="dxa"/>
            <w:gridSpan w:val="7"/>
            <w:vAlign w:val="center"/>
          </w:tcPr>
          <w:p>
            <w:pPr>
              <w:pStyle w:val="11"/>
              <w:ind w:left="454" w:firstLine="148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Наука и инновации</w:t>
            </w:r>
          </w:p>
        </w:tc>
      </w:tr>
      <w:tr>
        <w:trPr>
          <w:trHeight w:hRule="exact" w:val="749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разработок, тыс. руб.</w:t>
            </w:r>
          </w:p>
        </w:tc>
        <w:tc>
          <w:tcPr>
            <w:tcW w:w="709" w:type="dxa"/>
            <w:vAlign w:val="center"/>
          </w:tcPr>
          <w:p>
            <w:r>
              <w:t>13961,25</w:t>
            </w:r>
          </w:p>
        </w:tc>
        <w:tc>
          <w:tcPr>
            <w:tcW w:w="709" w:type="dxa"/>
            <w:vAlign w:val="center"/>
          </w:tcPr>
          <w:p>
            <w:r>
              <w:t>14000</w:t>
            </w:r>
          </w:p>
        </w:tc>
        <w:tc>
          <w:tcPr>
            <w:tcW w:w="708" w:type="dxa"/>
            <w:vAlign w:val="center"/>
          </w:tcPr>
          <w:p>
            <w:r>
              <w:t>14 500</w:t>
            </w:r>
          </w:p>
        </w:tc>
        <w:tc>
          <w:tcPr>
            <w:tcW w:w="709" w:type="dxa"/>
            <w:vAlign w:val="center"/>
          </w:tcPr>
          <w:p>
            <w:r>
              <w:t>15 000</w:t>
            </w:r>
          </w:p>
        </w:tc>
        <w:tc>
          <w:tcPr>
            <w:tcW w:w="709" w:type="dxa"/>
            <w:vAlign w:val="center"/>
          </w:tcPr>
          <w:p>
            <w:r>
              <w:t>16000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Объем финансирования научных исследований и разработок на 1 НПР, тыс. руб.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>
        <w:trPr>
          <w:trHeight w:hRule="exact" w:val="866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</w:tr>
      <w:tr>
        <w:trPr>
          <w:trHeight w:hRule="exact" w:val="866"/>
        </w:trPr>
        <w:tc>
          <w:tcPr>
            <w:tcW w:w="425" w:type="dxa"/>
            <w:vMerge w:val="restart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публикаций, изданных в российских рецензируемых и ведущих </w:t>
            </w:r>
            <w:r>
              <w:rPr>
                <w:rFonts w:ascii="Times New Roman" w:hAnsi="Times New Roman"/>
                <w:spacing w:val="-8"/>
              </w:rPr>
              <w:t>зарубежных научных журналах, всего, из них: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</w:t>
            </w:r>
          </w:p>
        </w:tc>
      </w:tr>
      <w:tr>
        <w:trPr>
          <w:trHeight w:val="375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  <w:rPr>
                <w:lang w:val="en-US"/>
              </w:rPr>
            </w:pPr>
            <w:r>
              <w:rPr>
                <w:lang w:val="en-US"/>
              </w:rPr>
              <w:t>RSCI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</w:tr>
      <w:tr>
        <w:trPr>
          <w:trHeight w:val="423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</w:pPr>
            <w:r>
              <w:t>ядро</w:t>
            </w:r>
            <w:r>
              <w:rPr>
                <w:lang w:val="en-US"/>
              </w:rPr>
              <w:t xml:space="preserve"> </w:t>
            </w:r>
            <w:r>
              <w:t>РИНЦ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>
        <w:trPr>
          <w:trHeight w:val="416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Web of Science </w:t>
            </w:r>
            <w:r>
              <w:t>С</w:t>
            </w:r>
            <w:r>
              <w:rPr>
                <w:lang w:val="en-US"/>
              </w:rPr>
              <w:t>ore Collection</w:t>
            </w:r>
          </w:p>
        </w:tc>
        <w:tc>
          <w:tcPr>
            <w:tcW w:w="709" w:type="dxa"/>
            <w:vAlign w:val="center"/>
          </w:tcPr>
          <w:p>
            <w:r>
              <w:t>-</w:t>
            </w:r>
          </w:p>
        </w:tc>
        <w:tc>
          <w:tcPr>
            <w:tcW w:w="709" w:type="dxa"/>
            <w:vAlign w:val="center"/>
          </w:tcPr>
          <w:p>
            <w:r>
              <w:t>-</w:t>
            </w:r>
          </w:p>
        </w:tc>
        <w:tc>
          <w:tcPr>
            <w:tcW w:w="708" w:type="dxa"/>
            <w:vAlign w:val="center"/>
          </w:tcPr>
          <w:p>
            <w:r>
              <w:t>-</w:t>
            </w:r>
          </w:p>
        </w:tc>
        <w:tc>
          <w:tcPr>
            <w:tcW w:w="709" w:type="dxa"/>
            <w:vAlign w:val="center"/>
          </w:tcPr>
          <w:p>
            <w:r>
              <w:t>-</w:t>
            </w:r>
          </w:p>
        </w:tc>
        <w:tc>
          <w:tcPr>
            <w:tcW w:w="709" w:type="dxa"/>
            <w:vAlign w:val="center"/>
          </w:tcPr>
          <w:p>
            <w:r>
              <w:t>-</w:t>
            </w:r>
          </w:p>
        </w:tc>
      </w:tr>
      <w:tr>
        <w:trPr>
          <w:trHeight w:val="408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  <w:rPr>
                <w:lang w:val="en-US"/>
              </w:rPr>
            </w:pPr>
            <w:proofErr w:type="spellStart"/>
            <w:r>
              <w:t>Scopus</w:t>
            </w:r>
            <w:proofErr w:type="spellEnd"/>
          </w:p>
        </w:tc>
        <w:tc>
          <w:tcPr>
            <w:tcW w:w="709" w:type="dxa"/>
            <w:vAlign w:val="center"/>
          </w:tcPr>
          <w:p>
            <w:r>
              <w:t>17</w:t>
            </w:r>
          </w:p>
        </w:tc>
        <w:tc>
          <w:tcPr>
            <w:tcW w:w="709" w:type="dxa"/>
            <w:vAlign w:val="center"/>
          </w:tcPr>
          <w:p>
            <w:r>
              <w:t>18</w:t>
            </w:r>
          </w:p>
        </w:tc>
        <w:tc>
          <w:tcPr>
            <w:tcW w:w="708" w:type="dxa"/>
            <w:vAlign w:val="center"/>
          </w:tcPr>
          <w:p>
            <w:r>
              <w:t>18</w:t>
            </w:r>
          </w:p>
        </w:tc>
        <w:tc>
          <w:tcPr>
            <w:tcW w:w="709" w:type="dxa"/>
            <w:vAlign w:val="center"/>
          </w:tcPr>
          <w:p>
            <w:r>
              <w:t>20</w:t>
            </w:r>
          </w:p>
        </w:tc>
        <w:tc>
          <w:tcPr>
            <w:tcW w:w="709" w:type="dxa"/>
            <w:vAlign w:val="center"/>
          </w:tcPr>
          <w:p>
            <w:r>
              <w:t>20</w:t>
            </w:r>
          </w:p>
        </w:tc>
      </w:tr>
      <w:tr>
        <w:trPr>
          <w:trHeight w:hRule="exact" w:val="445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</w:pPr>
            <w:r>
              <w:t>прочих тематических и отраслевых базах данных (</w:t>
            </w:r>
            <w:proofErr w:type="spellStart"/>
            <w:r>
              <w:t>Medline</w:t>
            </w:r>
            <w:proofErr w:type="spellEnd"/>
            <w:r>
              <w:t xml:space="preserve"> (</w:t>
            </w:r>
            <w:proofErr w:type="spellStart"/>
            <w:r>
              <w:t>PubMed</w:t>
            </w:r>
            <w:proofErr w:type="spellEnd"/>
            <w:r>
              <w:t xml:space="preserve">), </w:t>
            </w:r>
            <w:proofErr w:type="spellStart"/>
            <w:r>
              <w:rPr>
                <w:lang w:val="en-US"/>
              </w:rPr>
              <w:t>MathSciNet</w:t>
            </w:r>
            <w:proofErr w:type="spellEnd"/>
            <w:r>
              <w:t xml:space="preserve">, </w:t>
            </w:r>
            <w:r>
              <w:rPr>
                <w:lang w:val="en-US"/>
              </w:rPr>
              <w:t>INSPIRE</w:t>
            </w:r>
            <w:r>
              <w:t xml:space="preserve">,  </w:t>
            </w:r>
            <w:r>
              <w:rPr>
                <w:lang w:val="en-US"/>
              </w:rPr>
              <w:t>DBLP</w:t>
            </w:r>
            <w:r>
              <w:t xml:space="preserve"> и т.п.) 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>
        <w:trPr>
          <w:trHeight w:hRule="exact" w:val="369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</w:pPr>
            <w:r>
              <w:t>в российских научных журналах, включенных в перечень ВАК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</w:tr>
      <w:tr>
        <w:trPr>
          <w:trHeight w:hRule="exact" w:val="369"/>
        </w:trPr>
        <w:tc>
          <w:tcPr>
            <w:tcW w:w="425" w:type="dxa"/>
            <w:vMerge w:val="restart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6521" w:type="dxa"/>
          </w:tcPr>
          <w:p>
            <w:pPr>
              <w:widowControl w:val="0"/>
              <w:spacing w:line="204" w:lineRule="auto"/>
              <w:rPr>
                <w:color w:val="000000"/>
                <w:spacing w:val="-6"/>
              </w:rPr>
            </w:pPr>
            <w:r>
              <w:rPr>
                <w:spacing w:val="-6"/>
              </w:rPr>
              <w:t>Количество изданных монографий, всего, ед.</w:t>
            </w:r>
          </w:p>
        </w:tc>
        <w:tc>
          <w:tcPr>
            <w:tcW w:w="709" w:type="dxa"/>
            <w:vAlign w:val="center"/>
          </w:tcPr>
          <w:p>
            <w:r>
              <w:t>1</w:t>
            </w:r>
          </w:p>
        </w:tc>
        <w:tc>
          <w:tcPr>
            <w:tcW w:w="709" w:type="dxa"/>
            <w:vAlign w:val="center"/>
          </w:tcPr>
          <w:p>
            <w:r>
              <w:t>1</w:t>
            </w:r>
          </w:p>
        </w:tc>
        <w:tc>
          <w:tcPr>
            <w:tcW w:w="708" w:type="dxa"/>
            <w:vAlign w:val="center"/>
          </w:tcPr>
          <w:p>
            <w:r>
              <w:t>1</w:t>
            </w:r>
          </w:p>
        </w:tc>
        <w:tc>
          <w:tcPr>
            <w:tcW w:w="709" w:type="dxa"/>
            <w:vAlign w:val="center"/>
          </w:tcPr>
          <w:p>
            <w:r>
              <w:t>1</w:t>
            </w:r>
          </w:p>
        </w:tc>
        <w:tc>
          <w:tcPr>
            <w:tcW w:w="709" w:type="dxa"/>
            <w:vAlign w:val="center"/>
          </w:tcPr>
          <w:p>
            <w:r>
              <w:t>1</w:t>
            </w:r>
          </w:p>
        </w:tc>
      </w:tr>
      <w:tr>
        <w:trPr>
          <w:trHeight w:hRule="exact" w:val="369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</w:tcPr>
          <w:p>
            <w:pPr>
              <w:widowControl w:val="0"/>
              <w:spacing w:line="204" w:lineRule="auto"/>
              <w:jc w:val="right"/>
              <w:rPr>
                <w:color w:val="000000"/>
              </w:rPr>
            </w:pPr>
            <w:r>
              <w:t>из них за рубежом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>
        <w:trPr>
          <w:trHeight w:hRule="exact" w:val="369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патентов на изобретения, полезные модели, ед.</w:t>
            </w:r>
          </w:p>
        </w:tc>
        <w:tc>
          <w:tcPr>
            <w:tcW w:w="709" w:type="dxa"/>
            <w:vAlign w:val="center"/>
          </w:tcPr>
          <w:p>
            <w:r>
              <w:t>15</w:t>
            </w:r>
          </w:p>
        </w:tc>
        <w:tc>
          <w:tcPr>
            <w:tcW w:w="709" w:type="dxa"/>
            <w:vAlign w:val="center"/>
          </w:tcPr>
          <w:p>
            <w:r>
              <w:t>20</w:t>
            </w:r>
          </w:p>
        </w:tc>
        <w:tc>
          <w:tcPr>
            <w:tcW w:w="708" w:type="dxa"/>
            <w:vAlign w:val="center"/>
          </w:tcPr>
          <w:p>
            <w:r>
              <w:t>20</w:t>
            </w:r>
          </w:p>
        </w:tc>
        <w:tc>
          <w:tcPr>
            <w:tcW w:w="709" w:type="dxa"/>
            <w:vAlign w:val="center"/>
          </w:tcPr>
          <w:p>
            <w:r>
              <w:t>25</w:t>
            </w:r>
          </w:p>
        </w:tc>
        <w:tc>
          <w:tcPr>
            <w:tcW w:w="709" w:type="dxa"/>
            <w:vAlign w:val="center"/>
          </w:tcPr>
          <w:p>
            <w:r>
              <w:t>30</w:t>
            </w:r>
          </w:p>
        </w:tc>
      </w:tr>
      <w:tr>
        <w:trPr>
          <w:trHeight w:hRule="exact" w:val="473"/>
        </w:trPr>
        <w:tc>
          <w:tcPr>
            <w:tcW w:w="425" w:type="dxa"/>
            <w:vMerge w:val="restart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Количество использованных результатов </w:t>
            </w:r>
            <w:r>
              <w:rPr>
                <w:rFonts w:ascii="Times New Roman" w:hAnsi="Times New Roman"/>
                <w:spacing w:val="-8"/>
              </w:rPr>
              <w:t>интеллектуальной деятельности, всего, из них: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>
        <w:trPr>
          <w:trHeight w:hRule="exact" w:val="369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</w:pPr>
            <w:r>
              <w:t>переданных по лицензионному договору (соглашению)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>
        <w:trPr>
          <w:trHeight w:hRule="exact" w:val="369"/>
        </w:trPr>
        <w:tc>
          <w:tcPr>
            <w:tcW w:w="425" w:type="dxa"/>
            <w:vMerge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204" w:lineRule="auto"/>
              <w:ind w:firstLine="34"/>
              <w:jc w:val="right"/>
            </w:pPr>
            <w:r>
              <w:t>переданных по договору об отчуждении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>
        <w:trPr>
          <w:trHeight w:hRule="exact" w:val="671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709" w:type="dxa"/>
            <w:vAlign w:val="center"/>
          </w:tcPr>
          <w:p>
            <w:r>
              <w:t>2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708" w:type="dxa"/>
            <w:vAlign w:val="center"/>
          </w:tcPr>
          <w:p>
            <w:r>
              <w:t>3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709" w:type="dxa"/>
            <w:vAlign w:val="center"/>
          </w:tcPr>
          <w:p>
            <w:r>
              <w:t>3</w:t>
            </w:r>
            <w:r>
              <w:rPr>
                <w:lang w:val="en-US"/>
              </w:rPr>
              <w:t>/</w:t>
            </w:r>
            <w:r>
              <w:t>0</w:t>
            </w:r>
          </w:p>
        </w:tc>
        <w:tc>
          <w:tcPr>
            <w:tcW w:w="709" w:type="dxa"/>
            <w:vAlign w:val="center"/>
          </w:tcPr>
          <w:p>
            <w:r>
              <w:t>3</w:t>
            </w:r>
            <w:r>
              <w:rPr>
                <w:lang w:val="en-US"/>
              </w:rPr>
              <w:t>/</w:t>
            </w:r>
            <w:r>
              <w:t>1</w:t>
            </w:r>
          </w:p>
        </w:tc>
      </w:tr>
      <w:tr>
        <w:trPr>
          <w:trHeight w:hRule="exact" w:val="1176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2.9.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</w:p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</w:p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>
        <w:trPr>
          <w:trHeight w:hRule="exact" w:val="340"/>
        </w:trPr>
        <w:tc>
          <w:tcPr>
            <w:tcW w:w="10490" w:type="dxa"/>
            <w:gridSpan w:val="7"/>
            <w:vAlign w:val="center"/>
          </w:tcPr>
          <w:p>
            <w:pPr>
              <w:pStyle w:val="11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3. Международная деятельность</w:t>
            </w:r>
          </w:p>
        </w:tc>
      </w:tr>
      <w:tr>
        <w:trPr>
          <w:trHeight w:hRule="exact" w:val="369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иностранных студентов, чел. </w:t>
            </w:r>
          </w:p>
        </w:tc>
        <w:tc>
          <w:tcPr>
            <w:tcW w:w="709" w:type="dxa"/>
            <w:vAlign w:val="center"/>
          </w:tcPr>
          <w:p>
            <w:r>
              <w:t>1250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370</w:t>
            </w:r>
          </w:p>
        </w:tc>
        <w:tc>
          <w:tcPr>
            <w:tcW w:w="708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1620</w:t>
            </w:r>
          </w:p>
        </w:tc>
        <w:tc>
          <w:tcPr>
            <w:tcW w:w="709" w:type="dxa"/>
            <w:vAlign w:val="center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1720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факультетом, ед.</w:t>
            </w:r>
          </w:p>
        </w:tc>
        <w:tc>
          <w:tcPr>
            <w:tcW w:w="709" w:type="dxa"/>
            <w:vAlign w:val="center"/>
          </w:tcPr>
          <w:p>
            <w:r>
              <w:t>2</w:t>
            </w:r>
          </w:p>
        </w:tc>
        <w:tc>
          <w:tcPr>
            <w:tcW w:w="709" w:type="dxa"/>
            <w:vAlign w:val="center"/>
          </w:tcPr>
          <w:p>
            <w:r>
              <w:t>3</w:t>
            </w:r>
          </w:p>
        </w:tc>
        <w:tc>
          <w:tcPr>
            <w:tcW w:w="708" w:type="dxa"/>
            <w:vAlign w:val="center"/>
          </w:tcPr>
          <w:p>
            <w:r>
              <w:t>4</w:t>
            </w:r>
          </w:p>
        </w:tc>
        <w:tc>
          <w:tcPr>
            <w:tcW w:w="709" w:type="dxa"/>
            <w:vAlign w:val="center"/>
          </w:tcPr>
          <w:p>
            <w:r>
              <w:t>4</w:t>
            </w:r>
          </w:p>
        </w:tc>
        <w:tc>
          <w:tcPr>
            <w:tcW w:w="709" w:type="dxa"/>
            <w:vAlign w:val="center"/>
          </w:tcPr>
          <w:p>
            <w:r>
              <w:t>4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709" w:type="dxa"/>
            <w:vAlign w:val="center"/>
          </w:tcPr>
          <w:p>
            <w:r>
              <w:t>2</w:t>
            </w:r>
          </w:p>
        </w:tc>
        <w:tc>
          <w:tcPr>
            <w:tcW w:w="709" w:type="dxa"/>
            <w:vAlign w:val="center"/>
          </w:tcPr>
          <w:p>
            <w:r>
              <w:t>2</w:t>
            </w:r>
          </w:p>
        </w:tc>
        <w:tc>
          <w:tcPr>
            <w:tcW w:w="708" w:type="dxa"/>
            <w:vAlign w:val="center"/>
          </w:tcPr>
          <w:p>
            <w:r>
              <w:t>3</w:t>
            </w:r>
          </w:p>
        </w:tc>
        <w:tc>
          <w:tcPr>
            <w:tcW w:w="709" w:type="dxa"/>
            <w:vAlign w:val="center"/>
          </w:tcPr>
          <w:p>
            <w:r>
              <w:t>3</w:t>
            </w:r>
          </w:p>
        </w:tc>
        <w:tc>
          <w:tcPr>
            <w:tcW w:w="709" w:type="dxa"/>
            <w:vAlign w:val="center"/>
          </w:tcPr>
          <w:p>
            <w:r>
              <w:t>4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ОП, реализуемых совместно с зарубежными университетами, ед.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</w:tr>
      <w:tr>
        <w:trPr>
          <w:trHeight w:hRule="exact" w:val="340"/>
        </w:trPr>
        <w:tc>
          <w:tcPr>
            <w:tcW w:w="10490" w:type="dxa"/>
            <w:gridSpan w:val="7"/>
            <w:vAlign w:val="center"/>
          </w:tcPr>
          <w:p>
            <w:pPr>
              <w:pStyle w:val="11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4. Молодежная политика и воспитательная деятельность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студентов факультета, участвующих в проектах и программах, направленных на профессиональное, личностное развитие и патриотическое воспитание, %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652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>
              <w:t>Доля студентов факультета, вовлеченных в добровольческую и общественную деятельность, %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>
        <w:trPr>
          <w:trHeight w:val="850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  <w:lang w:eastAsia="ru-RU"/>
              </w:rPr>
              <w:t>студентов факультета</w:t>
            </w:r>
            <w:r>
              <w:rPr>
                <w:rFonts w:ascii="Times New Roman" w:hAnsi="Times New Roman"/>
              </w:rPr>
              <w:t>, охваченных эффективной системой выявления, поддержки и развития способностей и талантов студентов, основанной на принципах ответственности, справедливости, всеобщности и направленной на самоопределение и профессиональную ориентацию, %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студентов, верящих в возможности самореализации в России, %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проводимых культурно-массовых, общественно-значимых, спортивных, гражданско-патриотических, мероприятий с  массовым привлечением обучающихся для формирования позитивной социокультурной среды региона, мероприятий по профилактике экстремизма и терроризма в молодежной среде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4.6.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  <w:lang w:eastAsia="ru-RU"/>
              </w:rPr>
              <w:t>студентов факультета, посещающих культурно-массовые мероприятия, %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4.7.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(для магистратуры, ординатуры, ассистентуры – стажировки не применяется), %</w:t>
            </w:r>
          </w:p>
        </w:tc>
        <w:tc>
          <w:tcPr>
            <w:tcW w:w="709" w:type="dxa"/>
            <w:vAlign w:val="center"/>
          </w:tcPr>
          <w:p>
            <w:r>
              <w:t>98</w:t>
            </w:r>
          </w:p>
        </w:tc>
        <w:tc>
          <w:tcPr>
            <w:tcW w:w="709" w:type="dxa"/>
            <w:vAlign w:val="center"/>
          </w:tcPr>
          <w:p>
            <w:r>
              <w:t>98</w:t>
            </w:r>
          </w:p>
        </w:tc>
        <w:tc>
          <w:tcPr>
            <w:tcW w:w="708" w:type="dxa"/>
            <w:vAlign w:val="center"/>
          </w:tcPr>
          <w:p>
            <w:r>
              <w:t>98</w:t>
            </w:r>
          </w:p>
        </w:tc>
        <w:tc>
          <w:tcPr>
            <w:tcW w:w="709" w:type="dxa"/>
            <w:vAlign w:val="center"/>
          </w:tcPr>
          <w:p>
            <w:r>
              <w:t>98</w:t>
            </w:r>
          </w:p>
        </w:tc>
        <w:tc>
          <w:tcPr>
            <w:tcW w:w="709" w:type="dxa"/>
            <w:vAlign w:val="center"/>
          </w:tcPr>
          <w:p>
            <w:r>
              <w:t>98</w:t>
            </w:r>
          </w:p>
        </w:tc>
      </w:tr>
      <w:tr>
        <w:trPr>
          <w:trHeight w:hRule="exact" w:val="340"/>
        </w:trPr>
        <w:tc>
          <w:tcPr>
            <w:tcW w:w="10490" w:type="dxa"/>
            <w:gridSpan w:val="7"/>
            <w:vAlign w:val="center"/>
          </w:tcPr>
          <w:p>
            <w:pPr>
              <w:pStyle w:val="11"/>
              <w:ind w:left="454" w:firstLine="290"/>
              <w:jc w:val="left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5. Организационный, кадровый и финансовый менеджмент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за страницу сайта факультета в рейтинге сайтов структурных подразделений университета, балл</w:t>
            </w:r>
          </w:p>
        </w:tc>
        <w:tc>
          <w:tcPr>
            <w:tcW w:w="709" w:type="dxa"/>
            <w:vAlign w:val="center"/>
          </w:tcPr>
          <w:p>
            <w:r>
              <w:t>100</w:t>
            </w:r>
          </w:p>
        </w:tc>
        <w:tc>
          <w:tcPr>
            <w:tcW w:w="709" w:type="dxa"/>
            <w:vAlign w:val="center"/>
          </w:tcPr>
          <w:p>
            <w:r>
              <w:t>100</w:t>
            </w:r>
          </w:p>
        </w:tc>
        <w:tc>
          <w:tcPr>
            <w:tcW w:w="708" w:type="dxa"/>
            <w:vAlign w:val="center"/>
          </w:tcPr>
          <w:p>
            <w:r>
              <w:t>100</w:t>
            </w:r>
          </w:p>
        </w:tc>
        <w:tc>
          <w:tcPr>
            <w:tcW w:w="709" w:type="dxa"/>
            <w:vAlign w:val="center"/>
          </w:tcPr>
          <w:p>
            <w:r>
              <w:t>100</w:t>
            </w:r>
          </w:p>
        </w:tc>
        <w:tc>
          <w:tcPr>
            <w:tcW w:w="709" w:type="dxa"/>
            <w:vAlign w:val="center"/>
          </w:tcPr>
          <w:p>
            <w:r>
              <w:t>100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балл рейтинговой оценки деятельности ППС факультета, балл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  <w:tc>
          <w:tcPr>
            <w:tcW w:w="709" w:type="dxa"/>
            <w:vAlign w:val="center"/>
          </w:tcPr>
          <w:p>
            <w:r>
              <w:t>50</w:t>
            </w:r>
          </w:p>
        </w:tc>
        <w:tc>
          <w:tcPr>
            <w:tcW w:w="708" w:type="dxa"/>
            <w:vAlign w:val="center"/>
          </w:tcPr>
          <w:p>
            <w:r>
              <w:t>55</w:t>
            </w:r>
          </w:p>
        </w:tc>
        <w:tc>
          <w:tcPr>
            <w:tcW w:w="709" w:type="dxa"/>
            <w:vAlign w:val="center"/>
          </w:tcPr>
          <w:p>
            <w:r>
              <w:t>60</w:t>
            </w:r>
          </w:p>
        </w:tc>
        <w:tc>
          <w:tcPr>
            <w:tcW w:w="709" w:type="dxa"/>
            <w:vAlign w:val="center"/>
          </w:tcPr>
          <w:p>
            <w:r>
              <w:t>65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факультета в рейтинге структурных подразделений университета, место</w:t>
            </w:r>
          </w:p>
        </w:tc>
        <w:tc>
          <w:tcPr>
            <w:tcW w:w="709" w:type="dxa"/>
            <w:vAlign w:val="center"/>
          </w:tcPr>
          <w:p>
            <w:r>
              <w:t>3</w:t>
            </w:r>
          </w:p>
        </w:tc>
        <w:tc>
          <w:tcPr>
            <w:tcW w:w="709" w:type="dxa"/>
            <w:vAlign w:val="center"/>
          </w:tcPr>
          <w:p>
            <w:r>
              <w:t>2</w:t>
            </w:r>
          </w:p>
        </w:tc>
        <w:tc>
          <w:tcPr>
            <w:tcW w:w="708" w:type="dxa"/>
            <w:vAlign w:val="center"/>
          </w:tcPr>
          <w:p>
            <w:r>
              <w:t>2</w:t>
            </w:r>
          </w:p>
        </w:tc>
        <w:tc>
          <w:tcPr>
            <w:tcW w:w="709" w:type="dxa"/>
            <w:vAlign w:val="center"/>
          </w:tcPr>
          <w:p>
            <w:r>
              <w:t>2</w:t>
            </w:r>
          </w:p>
        </w:tc>
        <w:tc>
          <w:tcPr>
            <w:tcW w:w="709" w:type="dxa"/>
            <w:vAlign w:val="center"/>
          </w:tcPr>
          <w:p>
            <w:r>
              <w:rPr>
                <w:lang w:val="en-US"/>
              </w:rPr>
              <w:t>1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5.4.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>
            <w:r>
              <w:t>33,5</w:t>
            </w:r>
          </w:p>
        </w:tc>
        <w:tc>
          <w:tcPr>
            <w:tcW w:w="709" w:type="dxa"/>
            <w:vAlign w:val="center"/>
          </w:tcPr>
          <w:p>
            <w:r>
              <w:t>33,5</w:t>
            </w:r>
          </w:p>
        </w:tc>
        <w:tc>
          <w:tcPr>
            <w:tcW w:w="708" w:type="dxa"/>
            <w:vAlign w:val="center"/>
          </w:tcPr>
          <w:p>
            <w:r>
              <w:t>33,5</w:t>
            </w:r>
          </w:p>
        </w:tc>
        <w:tc>
          <w:tcPr>
            <w:tcW w:w="709" w:type="dxa"/>
            <w:vAlign w:val="center"/>
          </w:tcPr>
          <w:p>
            <w:r>
              <w:t>33,5</w:t>
            </w:r>
          </w:p>
        </w:tc>
        <w:tc>
          <w:tcPr>
            <w:tcW w:w="709" w:type="dxa"/>
            <w:vAlign w:val="center"/>
          </w:tcPr>
          <w:p>
            <w:r>
              <w:t>33,5</w:t>
            </w:r>
          </w:p>
        </w:tc>
      </w:tr>
      <w:tr>
        <w:trPr>
          <w:trHeight w:hRule="exact" w:val="340"/>
        </w:trP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  <w:tc>
          <w:tcPr>
            <w:tcW w:w="708" w:type="dxa"/>
            <w:vAlign w:val="center"/>
          </w:tcPr>
          <w:p>
            <w:r>
              <w:t>45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  <w:tc>
          <w:tcPr>
            <w:tcW w:w="709" w:type="dxa"/>
            <w:vAlign w:val="center"/>
          </w:tcPr>
          <w:p>
            <w:r>
              <w:t>45</w:t>
            </w:r>
          </w:p>
        </w:tc>
      </w:tr>
      <w:tr>
        <w:tc>
          <w:tcPr>
            <w:tcW w:w="425" w:type="dxa"/>
            <w:vAlign w:val="center"/>
          </w:tcPr>
          <w:p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5.6.</w:t>
            </w:r>
          </w:p>
        </w:tc>
        <w:tc>
          <w:tcPr>
            <w:tcW w:w="6521" w:type="dxa"/>
            <w:vAlign w:val="center"/>
          </w:tcPr>
          <w:p>
            <w:pPr>
              <w:pStyle w:val="11"/>
              <w:ind w:left="34" w:right="-108"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709" w:type="dxa"/>
            <w:vAlign w:val="center"/>
          </w:tcPr>
          <w:p>
            <w:r>
              <w:t>69</w:t>
            </w:r>
          </w:p>
        </w:tc>
        <w:tc>
          <w:tcPr>
            <w:tcW w:w="709" w:type="dxa"/>
            <w:vAlign w:val="center"/>
          </w:tcPr>
          <w:p>
            <w:r>
              <w:t>70</w:t>
            </w:r>
          </w:p>
        </w:tc>
        <w:tc>
          <w:tcPr>
            <w:tcW w:w="708" w:type="dxa"/>
            <w:vAlign w:val="center"/>
          </w:tcPr>
          <w:p>
            <w:r>
              <w:t>72</w:t>
            </w:r>
          </w:p>
        </w:tc>
        <w:tc>
          <w:tcPr>
            <w:tcW w:w="709" w:type="dxa"/>
            <w:vAlign w:val="center"/>
          </w:tcPr>
          <w:p>
            <w:r>
              <w:t>72</w:t>
            </w:r>
          </w:p>
        </w:tc>
        <w:tc>
          <w:tcPr>
            <w:tcW w:w="709" w:type="dxa"/>
            <w:vAlign w:val="center"/>
          </w:tcPr>
          <w:p>
            <w:r>
              <w:t>75</w:t>
            </w:r>
          </w:p>
        </w:tc>
      </w:tr>
    </w:tbl>
    <w:p>
      <w:r>
        <w:br w:type="page"/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Ожидаемые результаты реализации программы развития факультета приборостроения, информационных технологий и электроники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факультета на 2025 – 2029 г.г. нацелена на следующие конкретные результаты:</w:t>
      </w:r>
    </w:p>
    <w:p>
      <w:pPr>
        <w:pStyle w:val="10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постоянного улучшения качества многоуровневой подготовки специалистов для сферы здравоохранения, медицинской и фармацевтической промышленности, </w:t>
      </w:r>
      <w:r>
        <w:rPr>
          <w:rFonts w:ascii="Times New Roman" w:hAnsi="Times New Roman"/>
          <w:sz w:val="28"/>
          <w:szCs w:val="28"/>
          <w:lang w:eastAsia="ru-RU"/>
        </w:rPr>
        <w:t>вооруженных инновационными знаниями, умениями и навыками, современными технологиями и готовых решать задачи современного общества.</w:t>
      </w:r>
    </w:p>
    <w:p>
      <w:pPr>
        <w:pStyle w:val="1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абсолютной успеваемости обучающихся до 75% и качества учебы до 36-40%, о</w:t>
      </w:r>
      <w:r>
        <w:rPr>
          <w:rFonts w:ascii="Times New Roman" w:hAnsi="Times New Roman"/>
          <w:sz w:val="28"/>
          <w:szCs w:val="28"/>
        </w:rPr>
        <w:t>беспечение ежегодного 99-100% успешного прохождения первичной и первичной специализированной аккредитации специалистов.</w:t>
      </w:r>
    </w:p>
    <w:p>
      <w:pPr>
        <w:pStyle w:val="10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Сохранение коллектива научно-педагогических работников, соответствующих современным требованиям конкурентоспособности на глобальном рынке образования, принимающих активное участие в образовательной, научной и инновационной  и клинической  деятельности.</w:t>
      </w:r>
    </w:p>
    <w:p>
      <w:pPr>
        <w:pStyle w:val="10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Эффективное взаимодействие  с Министерством здравоохранения Пензенской области, способствующее устранению дефицита медицинских кадров в области и практически 100% трудоустройству выпускников.</w:t>
      </w:r>
    </w:p>
    <w:p>
      <w:pPr>
        <w:pStyle w:val="10"/>
        <w:numPr>
          <w:ilvl w:val="0"/>
          <w:numId w:val="42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Освоение новых баз (ул. Лермонтова 28, морфологический корпус, ул. Лермонтова, 3), улучшение материально-технического и лабораторного оснащения факультета для обеспечения качества предоставляемых образовательных услуг, </w:t>
      </w:r>
      <w:r>
        <w:rPr>
          <w:rFonts w:ascii="Times New Roman" w:hAnsi="Times New Roman"/>
          <w:sz w:val="28"/>
          <w:szCs w:val="28"/>
        </w:rPr>
        <w:t>проведения научных исследований и осуществления высокотехнологичных разработок, соответствующих требованиям инновационного развития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10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среды открытых возможностей для личностного роста студентов, преподавателей и сотрудников.</w:t>
      </w:r>
    </w:p>
    <w:p>
      <w:pPr>
        <w:pStyle w:val="10"/>
        <w:numPr>
          <w:ilvl w:val="0"/>
          <w:numId w:val="42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 положительной общественной репутации факультета.</w:t>
      </w:r>
    </w:p>
    <w:p>
      <w:pPr>
        <w:pStyle w:val="10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ЛФ                  __________________                   И.Я. Моисеева</w:t>
      </w:r>
    </w:p>
    <w:p>
      <w:pPr>
        <w:spacing w:after="0"/>
        <w:ind w:left="2124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>личная подпись</w:t>
      </w:r>
    </w:p>
    <w:p>
      <w:pPr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60" w:line="36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Принята на Ученом совете</w:t>
      </w:r>
    </w:p>
    <w:p>
      <w:pPr>
        <w:spacing w:after="60" w:line="36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Медицинского института</w:t>
      </w:r>
    </w:p>
    <w:p>
      <w:pPr>
        <w:spacing w:after="60" w:line="36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24.04.2025 г. №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>
          <w:pgSz w:w="11920" w:h="16840"/>
          <w:pgMar w:top="960" w:right="720" w:bottom="280" w:left="1300" w:header="731" w:footer="0" w:gutter="0"/>
          <w:cols w:space="720" w:equalWidth="0">
            <w:col w:w="9900"/>
          </w:cols>
          <w:noEndnote/>
        </w:sectPr>
      </w:pP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СОГЛАСОВАНО</w:t>
      </w:r>
    </w:p>
    <w:p>
      <w:pPr>
        <w:tabs>
          <w:tab w:val="right" w:pos="567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проректор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Д.В. Артамонов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учебной работе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 xml:space="preserve">В.Б. </w:t>
      </w:r>
      <w:proofErr w:type="spellStart"/>
      <w:r>
        <w:rPr>
          <w:rFonts w:ascii="Times New Roman" w:hAnsi="Times New Roman" w:cs="Times New Roman"/>
        </w:rPr>
        <w:t>Механов</w:t>
      </w:r>
      <w:proofErr w:type="spellEnd"/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научной работе и инновационной деятельности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С.М. Васин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tabs>
          <w:tab w:val="center" w:pos="-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по международной деятельности 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Г.В. Синцов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молодежной политике и воспитательной деятельности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Ю.В. Еременко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-7513"/>
          <w:tab w:val="center" w:pos="-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Проректор по непрерывному образованию и трудоустройству 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В.А. Симагин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Директор Медицинского института</w:t>
      </w:r>
      <w:r>
        <w:rPr>
          <w:rFonts w:ascii="Times New Roman" w:hAnsi="Times New Roman" w:cs="Times New Roman"/>
          <w:color w:val="FF0000"/>
        </w:rPr>
        <w:t xml:space="preserve"> 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А.Н. Митрошин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дата 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стратегического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развития и системы качества</w:t>
      </w:r>
    </w:p>
    <w:p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  <w:t>В.А. Плоткин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подпись</w:t>
      </w:r>
    </w:p>
    <w:p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>дата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9"/>
      <w:jc w:val="center"/>
    </w:pPr>
  </w:p>
  <w:p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483"/>
    <w:multiLevelType w:val="multilevel"/>
    <w:tmpl w:val="F45C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2544"/>
    <w:multiLevelType w:val="multilevel"/>
    <w:tmpl w:val="5D96B4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50208A"/>
    <w:multiLevelType w:val="hybridMultilevel"/>
    <w:tmpl w:val="FD7A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55604"/>
    <w:multiLevelType w:val="hybridMultilevel"/>
    <w:tmpl w:val="92CABE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C61D2"/>
    <w:multiLevelType w:val="hybridMultilevel"/>
    <w:tmpl w:val="0DFAA1BC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1750D"/>
    <w:multiLevelType w:val="hybridMultilevel"/>
    <w:tmpl w:val="AB44FA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D97CEC"/>
    <w:multiLevelType w:val="hybridMultilevel"/>
    <w:tmpl w:val="61AEB6E6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C3A3D"/>
    <w:multiLevelType w:val="hybridMultilevel"/>
    <w:tmpl w:val="CA42B9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1BF7D50"/>
    <w:multiLevelType w:val="hybridMultilevel"/>
    <w:tmpl w:val="6D50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E1B3F"/>
    <w:multiLevelType w:val="hybridMultilevel"/>
    <w:tmpl w:val="F5E0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1E8627A4"/>
    <w:multiLevelType w:val="hybridMultilevel"/>
    <w:tmpl w:val="1012DC08"/>
    <w:lvl w:ilvl="0" w:tplc="020E47FA">
      <w:start w:val="1"/>
      <w:numFmt w:val="bullet"/>
      <w:lvlText w:val=""/>
      <w:lvlJc w:val="left"/>
      <w:pPr>
        <w:tabs>
          <w:tab w:val="num" w:pos="1352"/>
        </w:tabs>
        <w:ind w:left="984" w:firstLine="11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719A7"/>
    <w:multiLevelType w:val="hybridMultilevel"/>
    <w:tmpl w:val="B4325A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3675527"/>
    <w:multiLevelType w:val="hybridMultilevel"/>
    <w:tmpl w:val="17BE2C28"/>
    <w:lvl w:ilvl="0" w:tplc="020E47FA">
      <w:start w:val="1"/>
      <w:numFmt w:val="bullet"/>
      <w:lvlText w:val=""/>
      <w:lvlJc w:val="left"/>
      <w:pPr>
        <w:tabs>
          <w:tab w:val="num" w:pos="1352"/>
        </w:tabs>
        <w:ind w:left="984" w:firstLine="11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94975"/>
    <w:multiLevelType w:val="hybridMultilevel"/>
    <w:tmpl w:val="E4BCBB6A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178A46A8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265B2"/>
    <w:multiLevelType w:val="hybridMultilevel"/>
    <w:tmpl w:val="69BCE4A6"/>
    <w:lvl w:ilvl="0" w:tplc="020E47FA">
      <w:start w:val="1"/>
      <w:numFmt w:val="bullet"/>
      <w:lvlText w:val=""/>
      <w:lvlJc w:val="left"/>
      <w:pPr>
        <w:tabs>
          <w:tab w:val="num" w:pos="1352"/>
        </w:tabs>
        <w:ind w:left="984" w:firstLine="113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A229E3"/>
    <w:multiLevelType w:val="multilevel"/>
    <w:tmpl w:val="554E1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2DDF06E7"/>
    <w:multiLevelType w:val="hybridMultilevel"/>
    <w:tmpl w:val="1E98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6D0E"/>
    <w:multiLevelType w:val="multilevel"/>
    <w:tmpl w:val="FD2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0F5E03"/>
    <w:multiLevelType w:val="hybridMultilevel"/>
    <w:tmpl w:val="BEDC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94D86"/>
    <w:multiLevelType w:val="hybridMultilevel"/>
    <w:tmpl w:val="A0FA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84F58"/>
    <w:multiLevelType w:val="multilevel"/>
    <w:tmpl w:val="77CE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FE6CAD"/>
    <w:multiLevelType w:val="hybridMultilevel"/>
    <w:tmpl w:val="0208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F476F"/>
    <w:multiLevelType w:val="hybridMultilevel"/>
    <w:tmpl w:val="825A32B4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178A46A8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09617B"/>
    <w:multiLevelType w:val="hybridMultilevel"/>
    <w:tmpl w:val="E21E2C8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450216AE"/>
    <w:multiLevelType w:val="hybridMultilevel"/>
    <w:tmpl w:val="A31E3D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7497425"/>
    <w:multiLevelType w:val="hybridMultilevel"/>
    <w:tmpl w:val="16FE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BF3A6F"/>
    <w:multiLevelType w:val="hybridMultilevel"/>
    <w:tmpl w:val="C24C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424F8"/>
    <w:multiLevelType w:val="hybridMultilevel"/>
    <w:tmpl w:val="FAF6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A75568"/>
    <w:multiLevelType w:val="hybridMultilevel"/>
    <w:tmpl w:val="6A2A42BA"/>
    <w:lvl w:ilvl="0" w:tplc="178A46A8">
      <w:start w:val="1"/>
      <w:numFmt w:val="bullet"/>
      <w:lvlText w:val=""/>
      <w:lvlJc w:val="left"/>
      <w:pPr>
        <w:tabs>
          <w:tab w:val="num" w:pos="1247"/>
        </w:tabs>
        <w:ind w:left="16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61D712D"/>
    <w:multiLevelType w:val="hybridMultilevel"/>
    <w:tmpl w:val="3B68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043D9"/>
    <w:multiLevelType w:val="hybridMultilevel"/>
    <w:tmpl w:val="61F8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A60F6"/>
    <w:multiLevelType w:val="hybridMultilevel"/>
    <w:tmpl w:val="265C076E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6128FA"/>
    <w:multiLevelType w:val="hybridMultilevel"/>
    <w:tmpl w:val="4F40BF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13C02EC"/>
    <w:multiLevelType w:val="hybridMultilevel"/>
    <w:tmpl w:val="A11409C2"/>
    <w:lvl w:ilvl="0" w:tplc="020E47FA">
      <w:start w:val="1"/>
      <w:numFmt w:val="bullet"/>
      <w:lvlText w:val=""/>
      <w:lvlJc w:val="left"/>
      <w:pPr>
        <w:tabs>
          <w:tab w:val="num" w:pos="1352"/>
        </w:tabs>
        <w:ind w:left="984" w:firstLine="113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9144C0"/>
    <w:multiLevelType w:val="hybridMultilevel"/>
    <w:tmpl w:val="6FF20184"/>
    <w:lvl w:ilvl="0" w:tplc="178A46A8">
      <w:start w:val="1"/>
      <w:numFmt w:val="bullet"/>
      <w:lvlText w:val=""/>
      <w:lvlJc w:val="left"/>
      <w:pPr>
        <w:tabs>
          <w:tab w:val="num" w:pos="887"/>
        </w:tabs>
        <w:ind w:left="125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6911BD3"/>
    <w:multiLevelType w:val="multilevel"/>
    <w:tmpl w:val="52F4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3B0D36"/>
    <w:multiLevelType w:val="hybridMultilevel"/>
    <w:tmpl w:val="1036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93165"/>
    <w:multiLevelType w:val="hybridMultilevel"/>
    <w:tmpl w:val="55285EC4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5D7E52"/>
    <w:multiLevelType w:val="hybridMultilevel"/>
    <w:tmpl w:val="C03A27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F0EEF"/>
    <w:multiLevelType w:val="hybridMultilevel"/>
    <w:tmpl w:val="11846358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F7243"/>
    <w:multiLevelType w:val="hybridMultilevel"/>
    <w:tmpl w:val="8B7EEE32"/>
    <w:lvl w:ilvl="0" w:tplc="020E47FA">
      <w:start w:val="1"/>
      <w:numFmt w:val="bullet"/>
      <w:lvlText w:val=""/>
      <w:lvlJc w:val="left"/>
      <w:pPr>
        <w:tabs>
          <w:tab w:val="num" w:pos="992"/>
        </w:tabs>
        <w:ind w:left="624" w:firstLine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502701"/>
    <w:multiLevelType w:val="hybridMultilevel"/>
    <w:tmpl w:val="2E8C22D2"/>
    <w:lvl w:ilvl="0" w:tplc="BFDE3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20EA4"/>
    <w:multiLevelType w:val="hybridMultilevel"/>
    <w:tmpl w:val="D10A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8"/>
  </w:num>
  <w:num w:numId="4">
    <w:abstractNumId w:val="0"/>
  </w:num>
  <w:num w:numId="5">
    <w:abstractNumId w:val="21"/>
  </w:num>
  <w:num w:numId="6">
    <w:abstractNumId w:val="34"/>
  </w:num>
  <w:num w:numId="7">
    <w:abstractNumId w:val="12"/>
  </w:num>
  <w:num w:numId="8">
    <w:abstractNumId w:val="26"/>
  </w:num>
  <w:num w:numId="9">
    <w:abstractNumId w:val="37"/>
  </w:num>
  <w:num w:numId="10">
    <w:abstractNumId w:val="39"/>
  </w:num>
  <w:num w:numId="11">
    <w:abstractNumId w:val="29"/>
  </w:num>
  <w:num w:numId="12">
    <w:abstractNumId w:val="15"/>
  </w:num>
  <w:num w:numId="13">
    <w:abstractNumId w:val="45"/>
  </w:num>
  <w:num w:numId="14">
    <w:abstractNumId w:val="6"/>
  </w:num>
  <w:num w:numId="15">
    <w:abstractNumId w:val="44"/>
  </w:num>
  <w:num w:numId="16">
    <w:abstractNumId w:val="40"/>
  </w:num>
  <w:num w:numId="17">
    <w:abstractNumId w:val="42"/>
  </w:num>
  <w:num w:numId="18">
    <w:abstractNumId w:val="4"/>
  </w:num>
  <w:num w:numId="19">
    <w:abstractNumId w:val="33"/>
  </w:num>
  <w:num w:numId="20">
    <w:abstractNumId w:val="14"/>
  </w:num>
  <w:num w:numId="21">
    <w:abstractNumId w:val="23"/>
  </w:num>
  <w:num w:numId="22">
    <w:abstractNumId w:val="30"/>
  </w:num>
  <w:num w:numId="23">
    <w:abstractNumId w:val="5"/>
  </w:num>
  <w:num w:numId="24">
    <w:abstractNumId w:val="25"/>
  </w:num>
  <w:num w:numId="25">
    <w:abstractNumId w:val="36"/>
  </w:num>
  <w:num w:numId="26">
    <w:abstractNumId w:val="13"/>
  </w:num>
  <w:num w:numId="27">
    <w:abstractNumId w:val="11"/>
  </w:num>
  <w:num w:numId="28">
    <w:abstractNumId w:val="8"/>
  </w:num>
  <w:num w:numId="29">
    <w:abstractNumId w:val="35"/>
  </w:num>
  <w:num w:numId="30">
    <w:abstractNumId w:val="32"/>
  </w:num>
  <w:num w:numId="31">
    <w:abstractNumId w:val="31"/>
  </w:num>
  <w:num w:numId="32">
    <w:abstractNumId w:val="46"/>
  </w:num>
  <w:num w:numId="33">
    <w:abstractNumId w:val="1"/>
  </w:num>
  <w:num w:numId="34">
    <w:abstractNumId w:val="2"/>
  </w:num>
  <w:num w:numId="35">
    <w:abstractNumId w:val="9"/>
  </w:num>
  <w:num w:numId="36">
    <w:abstractNumId w:val="20"/>
  </w:num>
  <w:num w:numId="37">
    <w:abstractNumId w:val="28"/>
  </w:num>
  <w:num w:numId="38">
    <w:abstractNumId w:val="7"/>
  </w:num>
  <w:num w:numId="39">
    <w:abstractNumId w:val="24"/>
  </w:num>
  <w:num w:numId="40">
    <w:abstractNumId w:val="17"/>
  </w:num>
  <w:num w:numId="41">
    <w:abstractNumId w:val="22"/>
  </w:num>
  <w:num w:numId="42">
    <w:abstractNumId w:val="19"/>
  </w:num>
  <w:num w:numId="43">
    <w:abstractNumId w:val="43"/>
  </w:num>
  <w:num w:numId="44">
    <w:abstractNumId w:val="10"/>
  </w:num>
  <w:num w:numId="45">
    <w:abstractNumId w:val="16"/>
  </w:num>
  <w:num w:numId="46">
    <w:abstractNumId w:val="27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customStyle="1" w:styleId="1">
    <w:name w:val="Обычный1"/>
    <w:uiPriority w:val="9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rPr>
      <w:color w:val="0000FF"/>
      <w:u w:val="single"/>
    </w:rPr>
  </w:style>
  <w:style w:type="character" w:styleId="a8">
    <w:name w:val="Strong"/>
    <w:basedOn w:val="a1"/>
    <w:uiPriority w:val="99"/>
    <w:qFormat/>
    <w:rPr>
      <w:b/>
      <w:bCs/>
    </w:rPr>
  </w:style>
  <w:style w:type="paragraph" w:customStyle="1" w:styleId="a">
    <w:name w:val="Маркированный."/>
    <w:basedOn w:val="a0"/>
    <w:uiPriority w:val="9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0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9"/>
    <w:rPr>
      <w:rFonts w:ascii="Calibri" w:eastAsia="Times New Roman" w:hAnsi="Calibri" w:cs="Times New Roman"/>
    </w:rPr>
  </w:style>
  <w:style w:type="paragraph" w:styleId="ab">
    <w:name w:val="header"/>
    <w:basedOn w:val="a0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</w:style>
  <w:style w:type="paragraph" w:customStyle="1" w:styleId="2">
    <w:name w:val="Абзац списка2"/>
    <w:aliases w:val="1,UL,Абзац маркированнный,Абзац списка основной,List Paragraph"/>
    <w:basedOn w:val="a0"/>
    <w:link w:val="ListParagraphChar"/>
    <w:pPr>
      <w:spacing w:after="160" w:line="259" w:lineRule="auto"/>
      <w:ind w:left="720"/>
      <w:contextualSpacing/>
      <w:jc w:val="center"/>
    </w:pPr>
    <w:rPr>
      <w:rFonts w:ascii="Calibri" w:eastAsia="Times New Roman" w:hAnsi="Calibri" w:cs="Times New Roman"/>
      <w:szCs w:val="20"/>
    </w:rPr>
  </w:style>
  <w:style w:type="character" w:customStyle="1" w:styleId="ListParagraphChar">
    <w:name w:val="List Paragraph Char"/>
    <w:aliases w:val="1 Char,UL Char,Абзац маркированнный Char,Абзац списка основной Char"/>
    <w:link w:val="2"/>
    <w:locked/>
    <w:rPr>
      <w:rFonts w:ascii="Calibri" w:eastAsia="Times New Roman" w:hAnsi="Calibri" w:cs="Times New Roman"/>
      <w:szCs w:val="20"/>
    </w:rPr>
  </w:style>
  <w:style w:type="paragraph" w:customStyle="1" w:styleId="20">
    <w:name w:val="Обычный2"/>
    <w:pPr>
      <w:spacing w:after="0" w:line="320" w:lineRule="auto"/>
    </w:pPr>
    <w:rPr>
      <w:rFonts w:ascii="Arial" w:eastAsia="Calibri" w:hAnsi="Arial" w:cs="Arial"/>
      <w:color w:val="333333"/>
      <w:sz w:val="24"/>
      <w:szCs w:val="20"/>
      <w:lang w:eastAsia="ru-RU"/>
    </w:rPr>
  </w:style>
  <w:style w:type="paragraph" w:customStyle="1" w:styleId="11">
    <w:name w:val="Без интервала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Admin</cp:lastModifiedBy>
  <cp:revision>2</cp:revision>
  <cp:lastPrinted>2025-03-26T06:40:00Z</cp:lastPrinted>
  <dcterms:created xsi:type="dcterms:W3CDTF">2025-04-17T08:50:00Z</dcterms:created>
  <dcterms:modified xsi:type="dcterms:W3CDTF">2025-04-17T08:50:00Z</dcterms:modified>
</cp:coreProperties>
</file>